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A97E0" w14:textId="4D300091" w:rsidR="003A5739" w:rsidRPr="00572D7F" w:rsidRDefault="006D657C" w:rsidP="00193A6C">
      <w:pPr>
        <w:pStyle w:val="CERcovertitle"/>
        <w:rPr>
          <w:color w:val="046B99"/>
          <w:sz w:val="56"/>
          <w:szCs w:val="56"/>
        </w:rPr>
      </w:pPr>
      <w:r w:rsidRPr="00572D7F">
        <w:rPr>
          <w:color w:val="046B99"/>
          <w:sz w:val="56"/>
          <w:szCs w:val="56"/>
        </w:rPr>
        <w:t>Technical Advisory Committee</w:t>
      </w:r>
    </w:p>
    <w:p w14:paraId="15412E04" w14:textId="0229B48B" w:rsidR="003A5739" w:rsidRPr="0070214E" w:rsidRDefault="00805087" w:rsidP="00193A6C">
      <w:pPr>
        <w:pStyle w:val="CERcoversubtitle"/>
        <w:rPr>
          <w:color w:val="046B99"/>
        </w:rPr>
      </w:pPr>
      <w:r w:rsidRPr="0070214E">
        <w:rPr>
          <w:color w:val="046B99"/>
        </w:rPr>
        <w:t xml:space="preserve">Principles for </w:t>
      </w:r>
      <w:r w:rsidR="00562303" w:rsidRPr="0070214E">
        <w:rPr>
          <w:color w:val="046B99"/>
        </w:rPr>
        <w:t xml:space="preserve">assessing </w:t>
      </w:r>
      <w:r w:rsidRPr="0070214E">
        <w:rPr>
          <w:color w:val="046B99"/>
        </w:rPr>
        <w:t xml:space="preserve">models used </w:t>
      </w:r>
      <w:r w:rsidR="002519C4" w:rsidRPr="0070214E">
        <w:rPr>
          <w:color w:val="046B99"/>
        </w:rPr>
        <w:t xml:space="preserve">for </w:t>
      </w:r>
      <w:proofErr w:type="spellStart"/>
      <w:r w:rsidR="006D657C">
        <w:rPr>
          <w:color w:val="046B99"/>
        </w:rPr>
        <w:t>BidCarbon</w:t>
      </w:r>
      <w:proofErr w:type="spellEnd"/>
      <w:r w:rsidR="006D657C">
        <w:rPr>
          <w:color w:val="046B99"/>
        </w:rPr>
        <w:t xml:space="preserve"> Standard Scheme method</w:t>
      </w:r>
      <w:r w:rsidRPr="0070214E">
        <w:rPr>
          <w:color w:val="046B99"/>
        </w:rPr>
        <w:t>s</w:t>
      </w:r>
    </w:p>
    <w:p w14:paraId="4509370A" w14:textId="6AE10831" w:rsidR="00805087" w:rsidRPr="0070214E" w:rsidRDefault="00805087" w:rsidP="0070214E">
      <w:pPr>
        <w:spacing w:after="0"/>
        <w:rPr>
          <w:color w:val="046B99"/>
        </w:rPr>
      </w:pPr>
      <w:r w:rsidRPr="0070214E">
        <w:rPr>
          <w:color w:val="046B99"/>
        </w:rPr>
        <w:t>Version 1.0</w:t>
      </w:r>
      <w:r w:rsidR="003A5739" w:rsidRPr="0070214E">
        <w:rPr>
          <w:color w:val="215868" w:themeColor="accent5" w:themeShade="80"/>
        </w:rPr>
        <w:br w:type="page"/>
      </w:r>
      <w:bookmarkStart w:id="0" w:name="Document_History"/>
      <w:bookmarkEnd w:id="0"/>
    </w:p>
    <w:p w14:paraId="095A6130" w14:textId="5FCD1126" w:rsidR="00FA7635" w:rsidRPr="00061FB9" w:rsidRDefault="006D657C" w:rsidP="00061FB9">
      <w:pPr>
        <w:pStyle w:val="1"/>
        <w:spacing w:before="200"/>
        <w:ind w:right="-325"/>
        <w:rPr>
          <w:sz w:val="39"/>
          <w:szCs w:val="39"/>
        </w:rPr>
      </w:pPr>
      <w:r>
        <w:rPr>
          <w:sz w:val="39"/>
          <w:szCs w:val="39"/>
        </w:rPr>
        <w:lastRenderedPageBreak/>
        <w:t>Technical Advisory Committee</w:t>
      </w:r>
      <w:r w:rsidR="00805087" w:rsidRPr="00061FB9">
        <w:rPr>
          <w:sz w:val="39"/>
          <w:szCs w:val="39"/>
        </w:rPr>
        <w:t xml:space="preserve">: Principles for </w:t>
      </w:r>
      <w:r w:rsidR="00897C10" w:rsidRPr="00061FB9">
        <w:rPr>
          <w:sz w:val="39"/>
          <w:szCs w:val="39"/>
        </w:rPr>
        <w:t xml:space="preserve">assessing </w:t>
      </w:r>
      <w:r w:rsidR="00805087" w:rsidRPr="00061FB9">
        <w:rPr>
          <w:sz w:val="39"/>
          <w:szCs w:val="39"/>
        </w:rPr>
        <w:t xml:space="preserve">models used </w:t>
      </w:r>
      <w:r w:rsidR="00897C10" w:rsidRPr="00061FB9">
        <w:rPr>
          <w:sz w:val="39"/>
          <w:szCs w:val="39"/>
        </w:rPr>
        <w:t xml:space="preserve">for </w:t>
      </w:r>
      <w:proofErr w:type="spellStart"/>
      <w:r>
        <w:rPr>
          <w:sz w:val="39"/>
          <w:szCs w:val="39"/>
        </w:rPr>
        <w:t>BidCarbon</w:t>
      </w:r>
      <w:proofErr w:type="spellEnd"/>
      <w:r>
        <w:rPr>
          <w:sz w:val="39"/>
          <w:szCs w:val="39"/>
        </w:rPr>
        <w:t xml:space="preserve"> Standard Scheme method</w:t>
      </w:r>
      <w:r w:rsidR="00805087" w:rsidRPr="00061FB9">
        <w:rPr>
          <w:sz w:val="39"/>
          <w:szCs w:val="39"/>
        </w:rPr>
        <w:t>s</w:t>
      </w:r>
    </w:p>
    <w:p w14:paraId="6B4F11EA" w14:textId="340E3FD6" w:rsidR="00FA7635" w:rsidRPr="00FA7635" w:rsidRDefault="00FA7635" w:rsidP="00FA7635">
      <w:pPr>
        <w:pStyle w:val="2"/>
      </w:pPr>
      <w:r w:rsidRPr="00FA7635">
        <w:t xml:space="preserve">Purpose </w:t>
      </w:r>
    </w:p>
    <w:p w14:paraId="0D1CCCDE" w14:textId="77777777" w:rsidR="00572D7F" w:rsidRPr="00572D7F" w:rsidRDefault="00572D7F" w:rsidP="00572D7F">
      <w:pPr>
        <w:pStyle w:val="Default"/>
        <w:spacing w:after="240"/>
        <w:rPr>
          <w:rFonts w:asciiTheme="minorHAnsi" w:hAnsiTheme="minorHAnsi" w:cstheme="minorHAnsi"/>
          <w:color w:val="000000" w:themeColor="text1"/>
          <w:lang w:eastAsia="en-US"/>
        </w:rPr>
      </w:pPr>
      <w:r w:rsidRPr="00572D7F">
        <w:rPr>
          <w:rFonts w:asciiTheme="minorHAnsi" w:hAnsiTheme="minorHAnsi" w:cstheme="minorHAnsi"/>
          <w:color w:val="000000" w:themeColor="text1"/>
          <w:lang w:eastAsia="en-US"/>
        </w:rPr>
        <w:t xml:space="preserve">The Technical Advisory Committee (the Committee) is an independent committee established under the </w:t>
      </w:r>
      <w:proofErr w:type="spellStart"/>
      <w:r w:rsidRPr="00572D7F">
        <w:rPr>
          <w:rFonts w:asciiTheme="minorHAnsi" w:hAnsiTheme="minorHAnsi" w:cstheme="minorHAnsi"/>
          <w:color w:val="000000" w:themeColor="text1"/>
          <w:lang w:eastAsia="en-US"/>
        </w:rPr>
        <w:t>BidCarbon</w:t>
      </w:r>
      <w:proofErr w:type="spellEnd"/>
      <w:r w:rsidRPr="00572D7F">
        <w:rPr>
          <w:rFonts w:asciiTheme="minorHAnsi" w:hAnsiTheme="minorHAnsi" w:cstheme="minorHAnsi"/>
          <w:color w:val="000000" w:themeColor="text1"/>
          <w:lang w:eastAsia="en-US"/>
        </w:rPr>
        <w:t xml:space="preserve"> (Carbon Farming) Standard 2025 (the Carbon Farming Standard).</w:t>
      </w:r>
    </w:p>
    <w:p w14:paraId="24EC23C9" w14:textId="77777777" w:rsidR="00572D7F" w:rsidRPr="00572D7F" w:rsidRDefault="00572D7F" w:rsidP="00572D7F">
      <w:pPr>
        <w:pStyle w:val="Default"/>
        <w:spacing w:after="240"/>
        <w:rPr>
          <w:rFonts w:asciiTheme="minorHAnsi" w:hAnsiTheme="minorHAnsi" w:cstheme="minorHAnsi"/>
          <w:color w:val="000000" w:themeColor="text1"/>
          <w:lang w:eastAsia="en-US"/>
        </w:rPr>
      </w:pPr>
      <w:r w:rsidRPr="00572D7F">
        <w:rPr>
          <w:rFonts w:asciiTheme="minorHAnsi" w:hAnsiTheme="minorHAnsi" w:cstheme="minorHAnsi"/>
          <w:color w:val="000000" w:themeColor="text1"/>
          <w:lang w:eastAsia="en-US"/>
        </w:rPr>
        <w:t xml:space="preserve">Members of the Committee are appointed on the basis of their expertise and experience in fields relevant to the </w:t>
      </w:r>
      <w:proofErr w:type="spellStart"/>
      <w:r w:rsidRPr="00572D7F">
        <w:rPr>
          <w:rFonts w:asciiTheme="minorHAnsi" w:hAnsiTheme="minorHAnsi" w:cstheme="minorHAnsi"/>
          <w:color w:val="000000" w:themeColor="text1"/>
          <w:lang w:eastAsia="en-US"/>
        </w:rPr>
        <w:t>BidCarbon</w:t>
      </w:r>
      <w:proofErr w:type="spellEnd"/>
      <w:r w:rsidRPr="00572D7F">
        <w:rPr>
          <w:rFonts w:asciiTheme="minorHAnsi" w:hAnsiTheme="minorHAnsi" w:cstheme="minorHAnsi"/>
          <w:color w:val="000000" w:themeColor="text1"/>
          <w:lang w:eastAsia="en-US"/>
        </w:rPr>
        <w:t xml:space="preserve"> Standard Scheme.</w:t>
      </w:r>
    </w:p>
    <w:p w14:paraId="27D61B1B" w14:textId="7709A1EE" w:rsidR="008039E4" w:rsidRPr="00572D7F" w:rsidRDefault="00572D7F" w:rsidP="00572D7F">
      <w:pPr>
        <w:pStyle w:val="Default"/>
        <w:spacing w:after="200"/>
        <w:rPr>
          <w:rFonts w:asciiTheme="minorHAnsi" w:hAnsiTheme="minorHAnsi" w:cstheme="minorHAnsi"/>
          <w:color w:val="000000" w:themeColor="text1"/>
          <w:lang w:eastAsia="en-US"/>
        </w:rPr>
      </w:pPr>
      <w:r w:rsidRPr="00572D7F">
        <w:rPr>
          <w:rFonts w:asciiTheme="minorHAnsi" w:hAnsiTheme="minorHAnsi" w:cstheme="minorHAnsi"/>
          <w:color w:val="000000" w:themeColor="text1"/>
          <w:lang w:eastAsia="en-US"/>
        </w:rPr>
        <w:t xml:space="preserve">The Committee plays a central role in maintaining the integrity of the </w:t>
      </w:r>
      <w:proofErr w:type="spellStart"/>
      <w:r w:rsidRPr="00572D7F">
        <w:rPr>
          <w:rFonts w:asciiTheme="minorHAnsi" w:hAnsiTheme="minorHAnsi" w:cstheme="minorHAnsi"/>
          <w:color w:val="000000" w:themeColor="text1"/>
          <w:lang w:eastAsia="en-US"/>
        </w:rPr>
        <w:t>BidCarbon</w:t>
      </w:r>
      <w:proofErr w:type="spellEnd"/>
      <w:r w:rsidRPr="00572D7F">
        <w:rPr>
          <w:rFonts w:asciiTheme="minorHAnsi" w:hAnsiTheme="minorHAnsi" w:cstheme="minorHAnsi"/>
          <w:color w:val="000000" w:themeColor="text1"/>
          <w:lang w:eastAsia="en-US"/>
        </w:rPr>
        <w:t xml:space="preserve"> Standard Scheme, including by providing advice to the Chair of the Board of Trustees and the Secretary on whether draft methods and method variations comply with the Offsets Integrity Standards</w:t>
      </w:r>
      <w:r w:rsidR="0041419B" w:rsidRPr="00572D7F">
        <w:rPr>
          <w:rFonts w:asciiTheme="minorHAnsi" w:hAnsiTheme="minorHAnsi" w:cstheme="minorHAnsi"/>
          <w:color w:val="000000" w:themeColor="text1"/>
          <w:lang w:eastAsia="en-US"/>
        </w:rPr>
        <w:t>.</w:t>
      </w:r>
    </w:p>
    <w:p w14:paraId="4BB76208" w14:textId="35672DD1" w:rsidR="00172431" w:rsidRPr="00572D7F" w:rsidRDefault="00D77F1C" w:rsidP="00EE3300">
      <w:pPr>
        <w:rPr>
          <w:sz w:val="24"/>
        </w:rPr>
      </w:pPr>
      <w:r w:rsidRPr="00572D7F">
        <w:rPr>
          <w:sz w:val="24"/>
        </w:rPr>
        <w:t>The Carbon Farming Standard requires methods to set out an approach (typically through a model, direct measurement or both) to estimate abatement for projects covered by the method</w:t>
      </w:r>
      <w:r w:rsidR="00F33582" w:rsidRPr="00572D7F">
        <w:rPr>
          <w:sz w:val="24"/>
        </w:rPr>
        <w:t>.</w:t>
      </w:r>
      <w:r w:rsidR="00540CFB" w:rsidRPr="00572D7F">
        <w:rPr>
          <w:sz w:val="24"/>
        </w:rPr>
        <w:t xml:space="preserve"> </w:t>
      </w:r>
    </w:p>
    <w:p w14:paraId="69B67ABE" w14:textId="54CF33E3" w:rsidR="0098072A" w:rsidRPr="00572D7F" w:rsidRDefault="00D77F1C" w:rsidP="00EE3300">
      <w:pPr>
        <w:rPr>
          <w:sz w:val="24"/>
        </w:rPr>
      </w:pPr>
      <w:r w:rsidRPr="00572D7F">
        <w:rPr>
          <w:sz w:val="24"/>
        </w:rPr>
        <w:t>The approach to estimating abatement must meet the offsets integrity standards. This document is issued by the Committee to provide information on how it assesses models used to estimate abatement in methods</w:t>
      </w:r>
      <w:r w:rsidR="00676855" w:rsidRPr="00572D7F">
        <w:rPr>
          <w:sz w:val="24"/>
        </w:rPr>
        <w:t>.</w:t>
      </w:r>
    </w:p>
    <w:p w14:paraId="2BECE1E5" w14:textId="5509A723" w:rsidR="00D1081B" w:rsidRPr="00572D7F" w:rsidRDefault="00D77F1C" w:rsidP="00EE3300">
      <w:pPr>
        <w:pStyle w:val="ERACbullets"/>
        <w:numPr>
          <w:ilvl w:val="0"/>
          <w:numId w:val="0"/>
        </w:numPr>
        <w:spacing w:after="200"/>
        <w:rPr>
          <w:sz w:val="24"/>
        </w:rPr>
      </w:pPr>
      <w:r w:rsidRPr="00572D7F">
        <w:rPr>
          <w:sz w:val="24"/>
        </w:rPr>
        <w:t xml:space="preserve">The Technical Governance Committee (the TGC) will adopt the principles for models of abatement in method development and the Committee will use them as part of its assessment of a method’s compliance with the </w:t>
      </w:r>
      <w:proofErr w:type="gramStart"/>
      <w:r w:rsidRPr="00572D7F">
        <w:rPr>
          <w:sz w:val="24"/>
        </w:rPr>
        <w:t>offsets</w:t>
      </w:r>
      <w:proofErr w:type="gramEnd"/>
      <w:r w:rsidRPr="00572D7F">
        <w:rPr>
          <w:sz w:val="24"/>
        </w:rPr>
        <w:t xml:space="preserve"> integrity standards. The principles will be subject to regular review</w:t>
      </w:r>
      <w:r w:rsidR="00805087" w:rsidRPr="00572D7F">
        <w:rPr>
          <w:sz w:val="24"/>
        </w:rPr>
        <w:t>.</w:t>
      </w:r>
    </w:p>
    <w:p w14:paraId="39A0CD19" w14:textId="3C6E19B2" w:rsidR="00D1081B" w:rsidRDefault="00214C5E" w:rsidP="00214C5E">
      <w:pPr>
        <w:pStyle w:val="2"/>
      </w:pPr>
      <w:r>
        <w:t>Principles</w:t>
      </w:r>
    </w:p>
    <w:p w14:paraId="2B355A83" w14:textId="77777777" w:rsidR="00805087" w:rsidRPr="00572D7F" w:rsidRDefault="00805087" w:rsidP="00214C5E">
      <w:pPr>
        <w:spacing w:after="120"/>
        <w:rPr>
          <w:rFonts w:ascii="Calibri" w:hAnsi="Calibri" w:cs="Calibri"/>
          <w:b/>
          <w:bCs/>
          <w:color w:val="000000"/>
          <w:sz w:val="24"/>
        </w:rPr>
      </w:pPr>
      <w:r w:rsidRPr="00572D7F">
        <w:rPr>
          <w:b/>
          <w:bCs/>
          <w:sz w:val="24"/>
          <w:u w:val="single"/>
        </w:rPr>
        <w:t>Principle 1</w:t>
      </w:r>
      <w:r w:rsidRPr="00572D7F">
        <w:rPr>
          <w:b/>
          <w:sz w:val="24"/>
        </w:rPr>
        <w:t>:</w:t>
      </w:r>
      <w:r w:rsidRPr="00572D7F">
        <w:rPr>
          <w:b/>
          <w:bCs/>
          <w:sz w:val="24"/>
        </w:rPr>
        <w:t xml:space="preserve"> Models must be based on credible data</w:t>
      </w:r>
    </w:p>
    <w:p w14:paraId="38DE2AF5" w14:textId="27202A74" w:rsidR="00805087" w:rsidRPr="00572D7F" w:rsidRDefault="00D77F1C" w:rsidP="00805087">
      <w:pPr>
        <w:rPr>
          <w:sz w:val="24"/>
        </w:rPr>
      </w:pPr>
      <w:r w:rsidRPr="00572D7F">
        <w:rPr>
          <w:sz w:val="24"/>
        </w:rPr>
        <w:t xml:space="preserve">To ensure that the evidence base for the development of models to estimate net abatement in methods is robust, models must be based on credible data of sequestration rates obtained from field sampling carbon, for example through destructive sampling or other forms of direct measurement of vegetation or soil. This may include peer-reviewed data, supplemented where appropriate by international sources. In areas where science is emerging and data availability is </w:t>
      </w:r>
      <w:proofErr w:type="gramStart"/>
      <w:r w:rsidRPr="00572D7F">
        <w:rPr>
          <w:sz w:val="24"/>
        </w:rPr>
        <w:t>limited,</w:t>
      </w:r>
      <w:proofErr w:type="gramEnd"/>
      <w:r w:rsidRPr="00572D7F">
        <w:rPr>
          <w:sz w:val="24"/>
        </w:rPr>
        <w:t xml:space="preserve"> credible unpublished or non-peer reviewed data may be used so that the model can be informed by the latest available evidence</w:t>
      </w:r>
      <w:r w:rsidR="00805087" w:rsidRPr="00572D7F">
        <w:rPr>
          <w:sz w:val="24"/>
        </w:rPr>
        <w:t>.</w:t>
      </w:r>
    </w:p>
    <w:p w14:paraId="3E22CAE7" w14:textId="040708DE" w:rsidR="00805087" w:rsidRPr="00572D7F" w:rsidRDefault="00D77F1C" w:rsidP="00805087">
      <w:pPr>
        <w:rPr>
          <w:sz w:val="24"/>
        </w:rPr>
      </w:pPr>
      <w:r w:rsidRPr="00572D7F">
        <w:rPr>
          <w:sz w:val="24"/>
        </w:rPr>
        <w:t xml:space="preserve">The TGC will consult a wide range of technical experts when developing models to ensure that the data used for model calibration, and the resulting modelled estimates, are fit for purpose within the </w:t>
      </w:r>
      <w:proofErr w:type="spellStart"/>
      <w:r w:rsidRPr="00572D7F">
        <w:rPr>
          <w:sz w:val="24"/>
        </w:rPr>
        <w:t>BidCarbon</w:t>
      </w:r>
      <w:proofErr w:type="spellEnd"/>
      <w:r w:rsidRPr="00572D7F">
        <w:rPr>
          <w:sz w:val="24"/>
        </w:rPr>
        <w:t xml:space="preserve"> Standard Scheme</w:t>
      </w:r>
      <w:r w:rsidR="00805087" w:rsidRPr="00572D7F">
        <w:rPr>
          <w:sz w:val="24"/>
        </w:rPr>
        <w:t>.</w:t>
      </w:r>
    </w:p>
    <w:p w14:paraId="57CEC7D9" w14:textId="18E36939" w:rsidR="00805087" w:rsidRPr="00572D7F" w:rsidRDefault="00805087" w:rsidP="00805087">
      <w:pPr>
        <w:keepNext/>
        <w:spacing w:before="360" w:after="120"/>
        <w:rPr>
          <w:sz w:val="24"/>
        </w:rPr>
      </w:pPr>
      <w:r w:rsidRPr="00572D7F">
        <w:rPr>
          <w:b/>
          <w:bCs/>
          <w:sz w:val="24"/>
          <w:u w:val="single"/>
        </w:rPr>
        <w:lastRenderedPageBreak/>
        <w:t>Principle 2</w:t>
      </w:r>
      <w:r w:rsidRPr="00572D7F">
        <w:rPr>
          <w:b/>
          <w:sz w:val="24"/>
        </w:rPr>
        <w:t>:</w:t>
      </w:r>
      <w:r w:rsidRPr="00572D7F">
        <w:rPr>
          <w:b/>
          <w:bCs/>
          <w:sz w:val="24"/>
        </w:rPr>
        <w:t xml:space="preserve"> </w:t>
      </w:r>
      <w:r w:rsidR="00572D7F" w:rsidRPr="00572D7F">
        <w:rPr>
          <w:b/>
          <w:bCs/>
          <w:sz w:val="24"/>
        </w:rPr>
        <w:t>Models must be consistent with applicable international accounting requirements for reporting against international emissions reduction commitments</w:t>
      </w:r>
    </w:p>
    <w:p w14:paraId="78D7ABB3" w14:textId="0E575715" w:rsidR="00572D7F" w:rsidRPr="00572D7F" w:rsidRDefault="00572D7F" w:rsidP="00572D7F">
      <w:pPr>
        <w:rPr>
          <w:rFonts w:hint="eastAsia"/>
          <w:sz w:val="24"/>
          <w:lang w:val="en-US" w:eastAsia="zh-CN"/>
        </w:rPr>
      </w:pPr>
      <w:r w:rsidRPr="00572D7F">
        <w:rPr>
          <w:sz w:val="24"/>
          <w:lang w:val="en-US"/>
        </w:rPr>
        <w:t xml:space="preserve">To ensure that abatement credited under methods can be </w:t>
      </w:r>
      <w:proofErr w:type="spellStart"/>
      <w:r w:rsidRPr="00572D7F">
        <w:rPr>
          <w:sz w:val="24"/>
          <w:lang w:val="en-US"/>
        </w:rPr>
        <w:t>recognised</w:t>
      </w:r>
      <w:proofErr w:type="spellEnd"/>
      <w:r w:rsidRPr="00572D7F">
        <w:rPr>
          <w:sz w:val="24"/>
          <w:lang w:val="en-US"/>
        </w:rPr>
        <w:t xml:space="preserve"> in line with international emissions accounting practices, models must estimate abatement in a manner compatible with reporting frameworks established under the Paris Agreement.</w:t>
      </w:r>
    </w:p>
    <w:p w14:paraId="32D5B80F" w14:textId="47B4783A" w:rsidR="00805087" w:rsidRPr="00572D7F" w:rsidRDefault="00572D7F" w:rsidP="00572D7F">
      <w:pPr>
        <w:rPr>
          <w:sz w:val="24"/>
        </w:rPr>
      </w:pPr>
      <w:r w:rsidRPr="00572D7F">
        <w:rPr>
          <w:sz w:val="24"/>
          <w:lang w:val="en-US"/>
        </w:rPr>
        <w:t xml:space="preserve">Although the </w:t>
      </w:r>
      <w:proofErr w:type="spellStart"/>
      <w:r w:rsidRPr="00572D7F">
        <w:rPr>
          <w:sz w:val="24"/>
          <w:lang w:val="en-US"/>
        </w:rPr>
        <w:t>BidCarbon</w:t>
      </w:r>
      <w:proofErr w:type="spellEnd"/>
      <w:r w:rsidRPr="00572D7F">
        <w:rPr>
          <w:sz w:val="24"/>
          <w:lang w:val="en-US"/>
        </w:rPr>
        <w:t xml:space="preserve"> Standard Scheme is an independent, voluntary emissions reduction standard, the integrity of its abatement estimates must be maintained in accordance with internationally accepted accounting requirements.</w:t>
      </w:r>
    </w:p>
    <w:p w14:paraId="3D0EC255" w14:textId="5F485C11" w:rsidR="00061FB9" w:rsidRPr="00572D7F" w:rsidRDefault="00C345D2" w:rsidP="00C345D2">
      <w:pPr>
        <w:spacing w:after="0"/>
        <w:rPr>
          <w:sz w:val="24"/>
          <w:lang w:eastAsia="zh-CN"/>
        </w:rPr>
      </w:pPr>
      <w:r w:rsidRPr="00572D7F">
        <w:rPr>
          <w:sz w:val="24"/>
        </w:rPr>
        <w:t>The TGC consults widely with technical experts throughout the model development process to ensure that the model’s approach to estimating abatement aligns with these international expectations.</w:t>
      </w:r>
    </w:p>
    <w:p w14:paraId="4C02E453" w14:textId="322E80C5" w:rsidR="00805087" w:rsidRPr="00572D7F" w:rsidRDefault="00805087" w:rsidP="00C345D2">
      <w:pPr>
        <w:spacing w:before="360"/>
        <w:rPr>
          <w:b/>
          <w:bCs/>
          <w:sz w:val="24"/>
        </w:rPr>
      </w:pPr>
      <w:r w:rsidRPr="00572D7F">
        <w:rPr>
          <w:b/>
          <w:bCs/>
          <w:sz w:val="24"/>
          <w:u w:val="single"/>
        </w:rPr>
        <w:t>Principle 3</w:t>
      </w:r>
      <w:r w:rsidRPr="00572D7F">
        <w:rPr>
          <w:b/>
          <w:sz w:val="24"/>
        </w:rPr>
        <w:t>:</w:t>
      </w:r>
      <w:r w:rsidRPr="00572D7F">
        <w:rPr>
          <w:b/>
          <w:bCs/>
          <w:sz w:val="24"/>
        </w:rPr>
        <w:t xml:space="preserve"> Abatement estimation from models should be as accurate as possible</w:t>
      </w:r>
    </w:p>
    <w:p w14:paraId="25FE2BEE" w14:textId="55103F55" w:rsidR="00805087" w:rsidRPr="00572D7F" w:rsidRDefault="00805087" w:rsidP="00805087">
      <w:pPr>
        <w:rPr>
          <w:sz w:val="24"/>
          <w:lang w:val="en-US"/>
        </w:rPr>
      </w:pPr>
      <w:r w:rsidRPr="00572D7F">
        <w:rPr>
          <w:sz w:val="24"/>
          <w:lang w:val="en-US"/>
        </w:rPr>
        <w:t xml:space="preserve">Judgements on the conservatism of estimates, projections and assumptions need to be made by the Committee as a part of its consideration of compliance with the </w:t>
      </w:r>
      <w:proofErr w:type="gramStart"/>
      <w:r w:rsidR="00662855" w:rsidRPr="00572D7F">
        <w:rPr>
          <w:sz w:val="24"/>
          <w:lang w:val="en-US"/>
        </w:rPr>
        <w:t>o</w:t>
      </w:r>
      <w:r w:rsidRPr="00572D7F">
        <w:rPr>
          <w:sz w:val="24"/>
          <w:lang w:val="en-US"/>
        </w:rPr>
        <w:t>ffsets</w:t>
      </w:r>
      <w:proofErr w:type="gramEnd"/>
      <w:r w:rsidRPr="00572D7F">
        <w:rPr>
          <w:sz w:val="24"/>
          <w:lang w:val="en-US"/>
        </w:rPr>
        <w:t xml:space="preserve"> </w:t>
      </w:r>
      <w:r w:rsidR="00662855" w:rsidRPr="00572D7F">
        <w:rPr>
          <w:sz w:val="24"/>
          <w:lang w:val="en-US"/>
        </w:rPr>
        <w:t>i</w:t>
      </w:r>
      <w:r w:rsidRPr="00572D7F">
        <w:rPr>
          <w:sz w:val="24"/>
          <w:lang w:val="en-US"/>
        </w:rPr>
        <w:t xml:space="preserve">ntegrity </w:t>
      </w:r>
      <w:r w:rsidR="00662855" w:rsidRPr="00572D7F">
        <w:rPr>
          <w:sz w:val="24"/>
          <w:lang w:val="en-US"/>
        </w:rPr>
        <w:t>s</w:t>
      </w:r>
      <w:r w:rsidRPr="00572D7F">
        <w:rPr>
          <w:sz w:val="24"/>
          <w:lang w:val="en-US"/>
        </w:rPr>
        <w:t>tandards. Models need to be as accurate as they can be given available data as specified in Principle 1. In some cases, output estimates from models will be assessed as sufficient to meet conservativeness. In other cases, the Committee may decide that, to meet the standard of conservativeness for estimating abatement, other measures will need to be included in the method. These could include discounts or limits on eligibility of carbon pools and/or activities.</w:t>
      </w:r>
    </w:p>
    <w:p w14:paraId="22E812E5" w14:textId="77777777" w:rsidR="00805087" w:rsidRPr="00572D7F" w:rsidRDefault="00805087" w:rsidP="00805087">
      <w:pPr>
        <w:rPr>
          <w:sz w:val="24"/>
          <w:lang w:val="en-US"/>
        </w:rPr>
      </w:pPr>
      <w:r w:rsidRPr="00572D7F">
        <w:rPr>
          <w:sz w:val="24"/>
          <w:lang w:val="en-US"/>
        </w:rPr>
        <w:t xml:space="preserve">The Committee’s consideration of a model’s accuracy may be informed by an understanding of the level of variance associated with the model’s outputs or key inputs. </w:t>
      </w:r>
    </w:p>
    <w:p w14:paraId="3C298EF8" w14:textId="77777777" w:rsidR="00805087" w:rsidRPr="00572D7F" w:rsidRDefault="00805087" w:rsidP="00805087">
      <w:pPr>
        <w:spacing w:before="360" w:after="120"/>
        <w:rPr>
          <w:b/>
          <w:bCs/>
          <w:sz w:val="24"/>
        </w:rPr>
      </w:pPr>
      <w:r w:rsidRPr="00572D7F">
        <w:rPr>
          <w:b/>
          <w:bCs/>
          <w:sz w:val="24"/>
          <w:u w:val="single"/>
        </w:rPr>
        <w:t>Principle 4</w:t>
      </w:r>
      <w:r w:rsidRPr="00572D7F">
        <w:rPr>
          <w:b/>
          <w:sz w:val="24"/>
        </w:rPr>
        <w:t>:</w:t>
      </w:r>
      <w:r w:rsidRPr="00572D7F">
        <w:rPr>
          <w:b/>
          <w:bCs/>
          <w:sz w:val="24"/>
        </w:rPr>
        <w:t xml:space="preserve"> Models must </w:t>
      </w:r>
      <w:r w:rsidRPr="00572D7F">
        <w:rPr>
          <w:b/>
          <w:sz w:val="24"/>
        </w:rPr>
        <w:t xml:space="preserve">properly represent </w:t>
      </w:r>
      <w:r w:rsidRPr="00572D7F">
        <w:rPr>
          <w:b/>
          <w:sz w:val="24"/>
          <w:lang w:val="en-US"/>
        </w:rPr>
        <w:t xml:space="preserve">the emissions and sequestration processes being considered </w:t>
      </w:r>
    </w:p>
    <w:p w14:paraId="215E8747" w14:textId="0B6BAB6F" w:rsidR="00805087" w:rsidRPr="00572D7F" w:rsidRDefault="00805087" w:rsidP="00805087">
      <w:pPr>
        <w:rPr>
          <w:sz w:val="24"/>
          <w:lang w:val="en-US"/>
        </w:rPr>
      </w:pPr>
      <w:r w:rsidRPr="00572D7F">
        <w:rPr>
          <w:sz w:val="24"/>
          <w:lang w:val="en-US"/>
        </w:rPr>
        <w:t>Models need to be appropriate for the particular carbon abatement system being modelled. Methods that are used for natural systems will need to be able to estimate changes across different carbon pools and emissions sources. Methods for industrial production or energy will need different approaches to estimation depending on the sources of emissions and nature of abatement. This means that models will need to be a good fit for the natural systems or processes they are applied to rather than employing a “one size fits all’ approach.</w:t>
      </w:r>
    </w:p>
    <w:p w14:paraId="427877B3" w14:textId="77777777" w:rsidR="00805087" w:rsidRPr="00572D7F" w:rsidRDefault="00805087" w:rsidP="00805087">
      <w:pPr>
        <w:spacing w:before="360" w:after="120"/>
        <w:rPr>
          <w:b/>
          <w:bCs/>
          <w:sz w:val="24"/>
        </w:rPr>
      </w:pPr>
      <w:r w:rsidRPr="00572D7F">
        <w:rPr>
          <w:b/>
          <w:bCs/>
          <w:sz w:val="24"/>
          <w:u w:val="single"/>
        </w:rPr>
        <w:t>Principle 5</w:t>
      </w:r>
      <w:r w:rsidRPr="00572D7F">
        <w:rPr>
          <w:b/>
          <w:sz w:val="24"/>
        </w:rPr>
        <w:t>:</w:t>
      </w:r>
      <w:r w:rsidRPr="00572D7F">
        <w:rPr>
          <w:b/>
          <w:bCs/>
          <w:sz w:val="24"/>
        </w:rPr>
        <w:t xml:space="preserve"> Models must be reviewed regularly and subject to continuous improvement as scientific evidence and data availability improve over time</w:t>
      </w:r>
    </w:p>
    <w:p w14:paraId="2294DDC1" w14:textId="769A9988" w:rsidR="00805087" w:rsidRPr="00572D7F" w:rsidRDefault="00805087" w:rsidP="00A1355E">
      <w:pPr>
        <w:rPr>
          <w:sz w:val="24"/>
          <w:lang w:val="en-US"/>
        </w:rPr>
      </w:pPr>
      <w:r w:rsidRPr="00572D7F">
        <w:rPr>
          <w:sz w:val="24"/>
        </w:rPr>
        <w:t xml:space="preserve">It is important to ensure that models are improved over time as scientific evidence, data availability and data quality improves. This can be achieved if methods refer to the model as in force at the time of reporting, known as ‘incorporated documents’ to methods. This allows for </w:t>
      </w:r>
      <w:r w:rsidRPr="00572D7F">
        <w:rPr>
          <w:sz w:val="24"/>
          <w:lang w:val="en-US"/>
        </w:rPr>
        <w:t xml:space="preserve">any updates of the model parameters to feed through to improve the accuracy of abatement estimates for new as well as existing </w:t>
      </w:r>
      <w:proofErr w:type="spellStart"/>
      <w:r w:rsidR="00C345D2" w:rsidRPr="00572D7F">
        <w:rPr>
          <w:sz w:val="24"/>
          <w:lang w:val="en-US"/>
        </w:rPr>
        <w:t>BidCarbon</w:t>
      </w:r>
      <w:proofErr w:type="spellEnd"/>
      <w:r w:rsidR="00C345D2" w:rsidRPr="00572D7F">
        <w:rPr>
          <w:sz w:val="24"/>
          <w:lang w:val="en-US"/>
        </w:rPr>
        <w:t xml:space="preserve"> Standard Scheme </w:t>
      </w:r>
      <w:r w:rsidRPr="00572D7F">
        <w:rPr>
          <w:sz w:val="24"/>
          <w:lang w:val="en-US"/>
        </w:rPr>
        <w:t xml:space="preserve">projects. </w:t>
      </w:r>
    </w:p>
    <w:p w14:paraId="440BF2C8" w14:textId="3E267845" w:rsidR="00805087" w:rsidRPr="00572D7F" w:rsidRDefault="00877B4F" w:rsidP="00A1355E">
      <w:pPr>
        <w:rPr>
          <w:sz w:val="24"/>
          <w:lang w:val="en-US"/>
        </w:rPr>
      </w:pPr>
      <w:r w:rsidRPr="00572D7F">
        <w:rPr>
          <w:sz w:val="24"/>
          <w:lang w:val="en-US"/>
        </w:rPr>
        <w:lastRenderedPageBreak/>
        <w:t>The TGC</w:t>
      </w:r>
      <w:r w:rsidR="00805087" w:rsidRPr="00572D7F">
        <w:rPr>
          <w:sz w:val="24"/>
          <w:lang w:val="en-US"/>
        </w:rPr>
        <w:t xml:space="preserve"> </w:t>
      </w:r>
      <w:r w:rsidR="00F749F0" w:rsidRPr="00572D7F">
        <w:rPr>
          <w:sz w:val="24"/>
          <w:lang w:val="en-US"/>
        </w:rPr>
        <w:t>is implementing</w:t>
      </w:r>
      <w:r w:rsidR="0041419B" w:rsidRPr="00572D7F">
        <w:rPr>
          <w:sz w:val="24"/>
          <w:lang w:val="en-US"/>
        </w:rPr>
        <w:t xml:space="preserve"> </w:t>
      </w:r>
      <w:r w:rsidR="00805087" w:rsidRPr="00572D7F">
        <w:rPr>
          <w:sz w:val="24"/>
          <w:lang w:val="en-US"/>
        </w:rPr>
        <w:t>a review and model improvement process:</w:t>
      </w:r>
    </w:p>
    <w:p w14:paraId="196DA8F1" w14:textId="77777777" w:rsidR="00805087" w:rsidRPr="00572D7F" w:rsidRDefault="00805087" w:rsidP="00A1355E">
      <w:pPr>
        <w:pStyle w:val="ERACbullets"/>
        <w:spacing w:after="200"/>
        <w:rPr>
          <w:sz w:val="24"/>
          <w:lang w:val="en-US"/>
        </w:rPr>
      </w:pPr>
      <w:r w:rsidRPr="00572D7F">
        <w:rPr>
          <w:sz w:val="24"/>
          <w:lang w:val="en-US"/>
        </w:rPr>
        <w:t>It is proposed that models will be reviewed by an external technical assessor with relevant scientific expertise every three years. In cases where there is no or very little uptake of a method, reviews may be deferred, at the discretion of the Committee.</w:t>
      </w:r>
    </w:p>
    <w:p w14:paraId="1EF6E791" w14:textId="77777777" w:rsidR="00805087" w:rsidRPr="00572D7F" w:rsidRDefault="00805087" w:rsidP="00A1355E">
      <w:pPr>
        <w:pStyle w:val="ERACbullets"/>
        <w:numPr>
          <w:ilvl w:val="1"/>
          <w:numId w:val="31"/>
        </w:numPr>
        <w:spacing w:after="200"/>
        <w:rPr>
          <w:sz w:val="24"/>
        </w:rPr>
      </w:pPr>
      <w:r w:rsidRPr="00572D7F">
        <w:rPr>
          <w:sz w:val="24"/>
          <w:lang w:val="en-US"/>
        </w:rPr>
        <w:t xml:space="preserve">The technical assessment will aim to quantify </w:t>
      </w:r>
      <w:r w:rsidRPr="00572D7F">
        <w:rPr>
          <w:sz w:val="24"/>
        </w:rPr>
        <w:t xml:space="preserve">the levels of uncertainty in key model parameters, assumptions and model inputs and provide advice to the </w:t>
      </w:r>
      <w:r w:rsidRPr="00572D7F">
        <w:rPr>
          <w:sz w:val="24"/>
          <w:lang w:val="en-US"/>
        </w:rPr>
        <w:t>Committee</w:t>
      </w:r>
      <w:r w:rsidRPr="00572D7F">
        <w:rPr>
          <w:sz w:val="24"/>
        </w:rPr>
        <w:t xml:space="preserve"> on the overall degree of precision in the model.</w:t>
      </w:r>
    </w:p>
    <w:p w14:paraId="011E5A21" w14:textId="2C8D2286" w:rsidR="00805087" w:rsidRPr="00572D7F" w:rsidRDefault="00877B4F" w:rsidP="00A1355E">
      <w:pPr>
        <w:pStyle w:val="ERACbullets"/>
        <w:spacing w:after="200"/>
        <w:rPr>
          <w:sz w:val="24"/>
          <w:lang w:val="en-US"/>
        </w:rPr>
      </w:pPr>
      <w:r w:rsidRPr="00572D7F">
        <w:rPr>
          <w:sz w:val="24"/>
          <w:lang w:val="en-US"/>
        </w:rPr>
        <w:t>The TGC</w:t>
      </w:r>
      <w:r w:rsidR="00805087" w:rsidRPr="00572D7F">
        <w:rPr>
          <w:sz w:val="24"/>
          <w:lang w:val="en-US"/>
        </w:rPr>
        <w:t xml:space="preserve"> will aim to update the model post the technical review or more frequently if significant scientific evidence emerges that would have a material impact on a model’s estimation of net abatement.</w:t>
      </w:r>
    </w:p>
    <w:p w14:paraId="575C857D" w14:textId="71FE0C35" w:rsidR="00C76127" w:rsidRPr="00572D7F" w:rsidRDefault="00805087" w:rsidP="00BB7E58">
      <w:pPr>
        <w:pStyle w:val="ERACbullets"/>
        <w:rPr>
          <w:sz w:val="24"/>
          <w:lang w:val="en-US"/>
        </w:rPr>
      </w:pPr>
      <w:r w:rsidRPr="00572D7F">
        <w:rPr>
          <w:sz w:val="24"/>
          <w:lang w:val="en-US"/>
        </w:rPr>
        <w:t>Any review of models should be undertaken with a view to including any new or updated credible data in the model that can improve its accuracy.</w:t>
      </w:r>
    </w:p>
    <w:p w14:paraId="7F26B812" w14:textId="5263BD28" w:rsidR="00805087" w:rsidRPr="00572D7F" w:rsidRDefault="00805087" w:rsidP="00805087">
      <w:pPr>
        <w:spacing w:before="360" w:after="120"/>
        <w:rPr>
          <w:b/>
          <w:bCs/>
          <w:sz w:val="24"/>
        </w:rPr>
      </w:pPr>
      <w:r w:rsidRPr="00572D7F">
        <w:rPr>
          <w:b/>
          <w:sz w:val="24"/>
          <w:u w:val="single"/>
        </w:rPr>
        <w:t>Principle 6</w:t>
      </w:r>
      <w:r w:rsidRPr="00572D7F">
        <w:rPr>
          <w:b/>
          <w:sz w:val="24"/>
        </w:rPr>
        <w:t>:</w:t>
      </w:r>
      <w:r w:rsidRPr="00572D7F">
        <w:rPr>
          <w:b/>
          <w:bCs/>
          <w:sz w:val="24"/>
        </w:rPr>
        <w:t xml:space="preserve"> Models must be </w:t>
      </w:r>
      <w:r w:rsidRPr="00572D7F">
        <w:rPr>
          <w:b/>
          <w:sz w:val="24"/>
        </w:rPr>
        <w:t>verifiable, that is</w:t>
      </w:r>
      <w:r w:rsidRPr="00572D7F">
        <w:rPr>
          <w:b/>
          <w:bCs/>
          <w:sz w:val="24"/>
        </w:rPr>
        <w:t xml:space="preserve"> supported by a compliance approach that is evidence based</w:t>
      </w:r>
    </w:p>
    <w:p w14:paraId="0B708F80" w14:textId="7D9082A2" w:rsidR="00805087" w:rsidRPr="00572D7F" w:rsidRDefault="00BB7E58" w:rsidP="00805087">
      <w:pPr>
        <w:rPr>
          <w:sz w:val="24"/>
        </w:rPr>
      </w:pPr>
      <w:r w:rsidRPr="00572D7F">
        <w:rPr>
          <w:sz w:val="24"/>
        </w:rPr>
        <w:t xml:space="preserve">Where models are used to estimate net abatement in methods, it is important that the TGC is able to determine whether the modelled results reflect the operation and outcomes of </w:t>
      </w:r>
      <w:proofErr w:type="spellStart"/>
      <w:r w:rsidRPr="00572D7F">
        <w:rPr>
          <w:sz w:val="24"/>
        </w:rPr>
        <w:t>BidCarbon</w:t>
      </w:r>
      <w:proofErr w:type="spellEnd"/>
      <w:r w:rsidRPr="00572D7F">
        <w:rPr>
          <w:sz w:val="24"/>
        </w:rPr>
        <w:t xml:space="preserve"> Standard Scheme projects ‘on the ground'. This could be supported by a requirement for participants to provide evidence of the outcomes of </w:t>
      </w:r>
      <w:proofErr w:type="spellStart"/>
      <w:r w:rsidR="002E4418" w:rsidRPr="00572D7F">
        <w:rPr>
          <w:sz w:val="24"/>
        </w:rPr>
        <w:t>BidCarbon</w:t>
      </w:r>
      <w:proofErr w:type="spellEnd"/>
      <w:r w:rsidR="002E4418" w:rsidRPr="00572D7F">
        <w:rPr>
          <w:sz w:val="24"/>
        </w:rPr>
        <w:t xml:space="preserve"> Standard Scheme</w:t>
      </w:r>
      <w:r w:rsidR="002E4418" w:rsidRPr="00572D7F">
        <w:rPr>
          <w:sz w:val="24"/>
        </w:rPr>
        <w:t xml:space="preserve"> </w:t>
      </w:r>
      <w:r w:rsidRPr="00572D7F">
        <w:rPr>
          <w:sz w:val="24"/>
        </w:rPr>
        <w:t>projects such as GIS imagery or geolocated photos, to be submitted with offsets reports. The TGC will also use satellite or other imagery as well as audits to provide assurance of offsets reports</w:t>
      </w:r>
      <w:r w:rsidR="00805087" w:rsidRPr="00572D7F">
        <w:rPr>
          <w:sz w:val="24"/>
        </w:rPr>
        <w:t>.</w:t>
      </w:r>
    </w:p>
    <w:p w14:paraId="783DC696" w14:textId="7F6309F7" w:rsidR="00805087" w:rsidRPr="00572D7F" w:rsidRDefault="00805087" w:rsidP="00805087">
      <w:pPr>
        <w:spacing w:before="360" w:after="120"/>
        <w:rPr>
          <w:b/>
          <w:bCs/>
          <w:sz w:val="24"/>
        </w:rPr>
      </w:pPr>
      <w:r w:rsidRPr="00572D7F">
        <w:rPr>
          <w:b/>
          <w:bCs/>
          <w:sz w:val="24"/>
          <w:u w:val="single"/>
        </w:rPr>
        <w:t>Principle 7</w:t>
      </w:r>
      <w:r w:rsidRPr="00572D7F">
        <w:rPr>
          <w:b/>
          <w:sz w:val="24"/>
        </w:rPr>
        <w:t>:</w:t>
      </w:r>
      <w:r w:rsidRPr="00572D7F">
        <w:rPr>
          <w:b/>
          <w:bCs/>
          <w:sz w:val="24"/>
        </w:rPr>
        <w:t xml:space="preserve"> </w:t>
      </w:r>
      <w:r w:rsidR="003D5E38" w:rsidRPr="00572D7F">
        <w:rPr>
          <w:b/>
          <w:bCs/>
          <w:sz w:val="24"/>
        </w:rPr>
        <w:t>Models must comply with international rules</w:t>
      </w:r>
    </w:p>
    <w:p w14:paraId="3FEB5D3F" w14:textId="691E0586" w:rsidR="009D01EB" w:rsidRPr="00572D7F" w:rsidRDefault="002E4418" w:rsidP="009D01EB">
      <w:pPr>
        <w:rPr>
          <w:sz w:val="24"/>
          <w:lang w:eastAsia="zh-CN"/>
        </w:rPr>
      </w:pPr>
      <w:r w:rsidRPr="002E4418">
        <w:rPr>
          <w:sz w:val="24"/>
        </w:rPr>
        <w:t xml:space="preserve">Models underpinning </w:t>
      </w:r>
      <w:proofErr w:type="spellStart"/>
      <w:r w:rsidRPr="002E4418">
        <w:rPr>
          <w:sz w:val="24"/>
        </w:rPr>
        <w:t>BidCarbon</w:t>
      </w:r>
      <w:proofErr w:type="spellEnd"/>
      <w:r w:rsidRPr="002E4418">
        <w:rPr>
          <w:sz w:val="24"/>
        </w:rPr>
        <w:t xml:space="preserve"> methods are based on direct measurements and must comply with IPCC international inventory rules.</w:t>
      </w:r>
    </w:p>
    <w:sectPr w:rsidR="009D01EB" w:rsidRPr="00572D7F" w:rsidSect="0041419B">
      <w:headerReference w:type="default" r:id="rId11"/>
      <w:footerReference w:type="default" r:id="rId12"/>
      <w:footerReference w:type="first" r:id="rId13"/>
      <w:pgSz w:w="11900" w:h="16840" w:code="9"/>
      <w:pgMar w:top="993" w:right="1080" w:bottom="1560" w:left="1080" w:header="270" w:footer="51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73106" w14:textId="77777777" w:rsidR="00345C61" w:rsidRDefault="00345C61" w:rsidP="00176C28">
      <w:r>
        <w:separator/>
      </w:r>
    </w:p>
  </w:endnote>
  <w:endnote w:type="continuationSeparator" w:id="0">
    <w:p w14:paraId="634CB1DD" w14:textId="77777777" w:rsidR="00345C61" w:rsidRDefault="00345C61" w:rsidP="00176C28">
      <w:r>
        <w:continuationSeparator/>
      </w:r>
    </w:p>
  </w:endnote>
  <w:endnote w:type="continuationNotice" w:id="1">
    <w:p w14:paraId="7395417E" w14:textId="77777777" w:rsidR="00345C61" w:rsidRDefault="00345C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Raleway">
    <w:charset w:val="00"/>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D6780" w14:textId="47DD81F3" w:rsidR="00F76419" w:rsidRPr="002A4136" w:rsidRDefault="00F76419" w:rsidP="0070214E">
    <w:pPr>
      <w:spacing w:after="120"/>
      <w:rPr>
        <w:rStyle w:val="Protectivemarker"/>
        <w:b w:val="0"/>
        <w:color w:val="005874"/>
        <w:sz w:val="16"/>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3FF82" w14:textId="77777777" w:rsidR="0065750A" w:rsidRPr="009C30B4" w:rsidRDefault="0065750A" w:rsidP="0070214E">
    <w:pPr>
      <w:tabs>
        <w:tab w:val="left" w:pos="2694"/>
        <w:tab w:val="left" w:pos="3969"/>
        <w:tab w:val="left" w:pos="6946"/>
        <w:tab w:val="right" w:pos="9498"/>
      </w:tabs>
      <w:ind w:right="242"/>
      <w:rPr>
        <w:color w:val="005874"/>
        <w:sz w:val="16"/>
        <w:szCs w:val="16"/>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63ABE" w14:textId="77777777" w:rsidR="00345C61" w:rsidRDefault="00345C61" w:rsidP="00176C28">
      <w:r>
        <w:separator/>
      </w:r>
    </w:p>
  </w:footnote>
  <w:footnote w:type="continuationSeparator" w:id="0">
    <w:p w14:paraId="58596407" w14:textId="77777777" w:rsidR="00345C61" w:rsidRDefault="00345C61" w:rsidP="00176C28">
      <w:r>
        <w:continuationSeparator/>
      </w:r>
    </w:p>
  </w:footnote>
  <w:footnote w:type="continuationNotice" w:id="1">
    <w:p w14:paraId="7BF2E95E" w14:textId="77777777" w:rsidR="00345C61" w:rsidRDefault="00345C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E99D5" w14:textId="513A49AC" w:rsidR="00D81782" w:rsidRDefault="00D81782" w:rsidP="002A4136">
    <w:pPr>
      <w:pStyle w:val="LegislativesecrecyACT"/>
      <w:jc w:val="left"/>
      <w:rPr>
        <w:rFonts w:eastAsia="宋体"/>
        <w:lang w:eastAsia="zh-CN"/>
      </w:rPr>
    </w:pPr>
  </w:p>
  <w:tbl>
    <w:tblPr>
      <w:tblStyle w:val="a8"/>
      <w:tblW w:w="9771" w:type="dxa"/>
      <w:tblInd w:w="-10"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4952"/>
    </w:tblGrid>
    <w:tr w:rsidR="006D657C" w14:paraId="3F30EB0E" w14:textId="77777777" w:rsidTr="006F5A7A">
      <w:trPr>
        <w:trHeight w:val="567"/>
      </w:trPr>
      <w:tc>
        <w:tcPr>
          <w:tcW w:w="2551" w:type="dxa"/>
          <w:vMerge w:val="restart"/>
          <w:tcBorders>
            <w:right w:val="nil"/>
          </w:tcBorders>
          <w:shd w:val="clear" w:color="auto" w:fill="046B99"/>
        </w:tcPr>
        <w:p w14:paraId="109FCBF5" w14:textId="77777777" w:rsidR="006D657C" w:rsidRPr="007D3A3B" w:rsidRDefault="006D657C" w:rsidP="006D657C">
          <w:pPr>
            <w:pStyle w:val="a3"/>
            <w:jc w:val="both"/>
            <w:rPr>
              <w:lang w:eastAsia="zh-CN"/>
            </w:rPr>
          </w:pPr>
          <w:r>
            <w:rPr>
              <w:rFonts w:hint="eastAsia"/>
              <w:noProof/>
            </w:rPr>
            <w:drawing>
              <wp:anchor distT="0" distB="0" distL="114300" distR="114300" simplePos="0" relativeHeight="251659264" behindDoc="0" locked="0" layoutInCell="1" allowOverlap="1" wp14:anchorId="23265232" wp14:editId="102C0E73">
                <wp:simplePos x="0" y="0"/>
                <wp:positionH relativeFrom="column">
                  <wp:posOffset>121920</wp:posOffset>
                </wp:positionH>
                <wp:positionV relativeFrom="paragraph">
                  <wp:posOffset>133350</wp:posOffset>
                </wp:positionV>
                <wp:extent cx="1258570" cy="461645"/>
                <wp:effectExtent l="0" t="0" r="0" b="0"/>
                <wp:wrapNone/>
                <wp:docPr id="20310838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5D603E4F" w14:textId="77777777" w:rsidR="006D657C" w:rsidRDefault="006D657C" w:rsidP="006D657C">
          <w:pPr>
            <w:pStyle w:val="a3"/>
            <w:jc w:val="both"/>
            <w:rPr>
              <w:rFonts w:cs="Calibri"/>
              <w:b/>
              <w:bCs/>
              <w:sz w:val="24"/>
            </w:rPr>
          </w:pPr>
          <w:r>
            <w:rPr>
              <w:rFonts w:hint="eastAsia"/>
              <w:noProof/>
            </w:rPr>
            <w:drawing>
              <wp:anchor distT="0" distB="0" distL="114300" distR="114300" simplePos="0" relativeHeight="251660288" behindDoc="0" locked="0" layoutInCell="1" allowOverlap="1" wp14:anchorId="053313CB" wp14:editId="138B0733">
                <wp:simplePos x="0" y="0"/>
                <wp:positionH relativeFrom="column">
                  <wp:posOffset>191135</wp:posOffset>
                </wp:positionH>
                <wp:positionV relativeFrom="paragraph">
                  <wp:posOffset>265430</wp:posOffset>
                </wp:positionV>
                <wp:extent cx="349250" cy="209550"/>
                <wp:effectExtent l="0" t="0" r="0" b="0"/>
                <wp:wrapNone/>
                <wp:docPr id="1905739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cs="Calibri" w:hint="eastAsia"/>
              <w:b/>
              <w:bCs/>
              <w:noProof/>
            </w:rPr>
            <w:drawing>
              <wp:anchor distT="0" distB="0" distL="114300" distR="114300" simplePos="0" relativeHeight="251661312" behindDoc="0" locked="0" layoutInCell="1" allowOverlap="1" wp14:anchorId="579FE8B2" wp14:editId="2CAEE535">
                <wp:simplePos x="0" y="0"/>
                <wp:positionH relativeFrom="column">
                  <wp:posOffset>743585</wp:posOffset>
                </wp:positionH>
                <wp:positionV relativeFrom="paragraph">
                  <wp:posOffset>265430</wp:posOffset>
                </wp:positionV>
                <wp:extent cx="349250" cy="209550"/>
                <wp:effectExtent l="0" t="0" r="0" b="0"/>
                <wp:wrapNone/>
                <wp:docPr id="4439973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952" w:type="dxa"/>
          <w:vAlign w:val="center"/>
        </w:tcPr>
        <w:p w14:paraId="50434167" w14:textId="77777777" w:rsidR="006D657C" w:rsidRPr="005E1959" w:rsidRDefault="006D657C" w:rsidP="006D657C">
          <w:pPr>
            <w:pStyle w:val="a3"/>
            <w:spacing w:after="0" w:line="0" w:lineRule="atLeast"/>
            <w:jc w:val="both"/>
            <w:rPr>
              <w:rFonts w:cs="Calibri"/>
              <w:b/>
              <w:bCs/>
              <w:sz w:val="24"/>
            </w:rPr>
          </w:pPr>
          <w:r>
            <w:rPr>
              <w:rFonts w:ascii="Calibri" w:hAnsi="Calibri" w:cs="Calibri" w:hint="eastAsia"/>
              <w:b/>
              <w:bCs/>
              <w:sz w:val="24"/>
            </w:rPr>
            <w:t>CONTACT US</w:t>
          </w:r>
        </w:p>
      </w:tc>
    </w:tr>
    <w:tr w:rsidR="006D657C" w14:paraId="255AB033" w14:textId="77777777" w:rsidTr="006F5A7A">
      <w:trPr>
        <w:trHeight w:val="567"/>
      </w:trPr>
      <w:tc>
        <w:tcPr>
          <w:tcW w:w="2551" w:type="dxa"/>
          <w:vMerge/>
          <w:tcBorders>
            <w:right w:val="nil"/>
          </w:tcBorders>
          <w:shd w:val="clear" w:color="auto" w:fill="046B99"/>
        </w:tcPr>
        <w:p w14:paraId="52B63B5F" w14:textId="77777777" w:rsidR="006D657C" w:rsidRDefault="006D657C" w:rsidP="006D657C">
          <w:pPr>
            <w:pStyle w:val="a3"/>
            <w:jc w:val="both"/>
          </w:pPr>
        </w:p>
      </w:tc>
      <w:tc>
        <w:tcPr>
          <w:tcW w:w="2268" w:type="dxa"/>
          <w:vMerge/>
          <w:tcBorders>
            <w:left w:val="nil"/>
          </w:tcBorders>
          <w:shd w:val="clear" w:color="auto" w:fill="046B99"/>
        </w:tcPr>
        <w:p w14:paraId="341089B3" w14:textId="77777777" w:rsidR="006D657C" w:rsidRPr="005E1959" w:rsidRDefault="006D657C" w:rsidP="006D657C">
          <w:pPr>
            <w:pStyle w:val="a3"/>
            <w:jc w:val="both"/>
            <w:rPr>
              <w:rFonts w:cs="Calibri"/>
              <w:sz w:val="24"/>
            </w:rPr>
          </w:pPr>
        </w:p>
      </w:tc>
      <w:tc>
        <w:tcPr>
          <w:tcW w:w="4952" w:type="dxa"/>
          <w:vAlign w:val="center"/>
        </w:tcPr>
        <w:p w14:paraId="797F57DD" w14:textId="77777777" w:rsidR="006D657C" w:rsidRPr="005E1959" w:rsidRDefault="006D657C" w:rsidP="006D657C">
          <w:pPr>
            <w:pStyle w:val="a3"/>
            <w:spacing w:after="0" w:line="0" w:lineRule="atLeast"/>
            <w:jc w:val="both"/>
            <w:rPr>
              <w:rFonts w:cs="Calibri"/>
              <w:sz w:val="24"/>
            </w:rPr>
          </w:pPr>
          <w:r w:rsidRPr="005E1959">
            <w:rPr>
              <w:rFonts w:cs="Calibri" w:hint="eastAsia"/>
              <w:sz w:val="24"/>
            </w:rPr>
            <w:t>enquiries@</w:t>
          </w:r>
          <w:r>
            <w:rPr>
              <w:rFonts w:cs="Calibri" w:hint="eastAsia"/>
              <w:sz w:val="24"/>
            </w:rPr>
            <w:t>bidcarbon.org</w:t>
          </w:r>
        </w:p>
      </w:tc>
    </w:tr>
  </w:tbl>
  <w:p w14:paraId="3B88F806" w14:textId="77777777" w:rsidR="006D657C" w:rsidRPr="006D657C" w:rsidRDefault="006D657C" w:rsidP="002A4136">
    <w:pPr>
      <w:pStyle w:val="LegislativesecrecyACT"/>
      <w:jc w:val="left"/>
      <w:rPr>
        <w:rFonts w:eastAsia="宋体"/>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248DD2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3C4938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DCC17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E1C0D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9A299D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3AAAB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AB2D5C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F0C32C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F052E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EC6AD0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11FF7"/>
    <w:multiLevelType w:val="multilevel"/>
    <w:tmpl w:val="1BAAA8A2"/>
    <w:lvl w:ilvl="0">
      <w:start w:val="1"/>
      <w:numFmt w:val="bullet"/>
      <w:lvlText w:val=""/>
      <w:lvlJc w:val="left"/>
      <w:pPr>
        <w:ind w:left="360" w:hanging="360"/>
      </w:pPr>
      <w:rPr>
        <w:rFonts w:ascii="Symbol" w:hAnsi="Symbol" w:hint="default"/>
        <w:color w:val="006EA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5AA77D3"/>
    <w:multiLevelType w:val="hybridMultilevel"/>
    <w:tmpl w:val="440E48D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7254ADB"/>
    <w:multiLevelType w:val="hybridMultilevel"/>
    <w:tmpl w:val="71EE4F1E"/>
    <w:lvl w:ilvl="0" w:tplc="BDF6037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A452B8"/>
    <w:multiLevelType w:val="hybridMultilevel"/>
    <w:tmpl w:val="E988AB44"/>
    <w:lvl w:ilvl="0" w:tplc="6ABE5874">
      <w:start w:val="1"/>
      <w:numFmt w:val="bullet"/>
      <w:lvlText w:val=""/>
      <w:lvlJc w:val="left"/>
      <w:pPr>
        <w:ind w:left="360" w:hanging="360"/>
      </w:pPr>
      <w:rPr>
        <w:rFonts w:ascii="Symbol" w:hAnsi="Symbo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 w15:restartNumberingAfterBreak="0">
    <w:nsid w:val="19FF740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3244624"/>
    <w:multiLevelType w:val="hybridMultilevel"/>
    <w:tmpl w:val="9252EA40"/>
    <w:lvl w:ilvl="0" w:tplc="10968BB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58066C7"/>
    <w:multiLevelType w:val="multilevel"/>
    <w:tmpl w:val="CA7A5ED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26B055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81C0126"/>
    <w:multiLevelType w:val="hybridMultilevel"/>
    <w:tmpl w:val="7F5A3A94"/>
    <w:lvl w:ilvl="0" w:tplc="6ABE5874">
      <w:start w:val="1"/>
      <w:numFmt w:val="bullet"/>
      <w:lvlText w:val=""/>
      <w:lvlJc w:val="left"/>
      <w:pPr>
        <w:ind w:left="720" w:hanging="360"/>
      </w:pPr>
      <w:rPr>
        <w:rFonts w:ascii="Symbol" w:hAnsi="Symbol" w:hint="default"/>
        <w:color w:val="006EA6"/>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29706B91"/>
    <w:multiLevelType w:val="multilevel"/>
    <w:tmpl w:val="F3BAC700"/>
    <w:name w:val="CERBullets22"/>
    <w:lvl w:ilvl="0">
      <w:start w:val="1"/>
      <w:numFmt w:val="bullet"/>
      <w:lvlText w:val=""/>
      <w:lvlJc w:val="left"/>
      <w:pPr>
        <w:ind w:left="360" w:hanging="360"/>
      </w:pPr>
      <w:rPr>
        <w:rFonts w:ascii="Symbol" w:hAnsi="Symbol" w:hint="default"/>
        <w:color w:val="006EA6"/>
      </w:rPr>
    </w:lvl>
    <w:lvl w:ilvl="1">
      <w:start w:val="1"/>
      <w:numFmt w:val="bullet"/>
      <w:lvlText w:val="»"/>
      <w:lvlJc w:val="left"/>
      <w:pPr>
        <w:ind w:left="720" w:hanging="360"/>
      </w:pPr>
      <w:rPr>
        <w:rFonts w:ascii="Arial" w:hAnsi="Arial" w:hint="default"/>
        <w:color w:val="006EA6"/>
      </w:rPr>
    </w:lvl>
    <w:lvl w:ilvl="2">
      <w:start w:val="1"/>
      <w:numFmt w:val="bullet"/>
      <w:lvlText w:val="›"/>
      <w:lvlJc w:val="left"/>
      <w:pPr>
        <w:ind w:left="1080" w:hanging="360"/>
      </w:pPr>
      <w:rPr>
        <w:rFonts w:ascii="Arial" w:hAnsi="Arial" w:hint="default"/>
        <w:color w:val="006EA6"/>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8A675ED"/>
    <w:multiLevelType w:val="hybridMultilevel"/>
    <w:tmpl w:val="DD582AC6"/>
    <w:lvl w:ilvl="0" w:tplc="504A93CE">
      <w:start w:val="1"/>
      <w:numFmt w:val="bullet"/>
      <w:lvlText w:val="»"/>
      <w:lvlJc w:val="left"/>
      <w:pPr>
        <w:ind w:left="558" w:hanging="360"/>
      </w:pPr>
      <w:rPr>
        <w:rFonts w:ascii="Arial" w:hAnsi="Aria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1" w15:restartNumberingAfterBreak="0">
    <w:nsid w:val="3D4706A7"/>
    <w:multiLevelType w:val="multilevel"/>
    <w:tmpl w:val="CE947A96"/>
    <w:lvl w:ilvl="0">
      <w:numFmt w:val="decimal"/>
      <w:pStyle w:val="ERACbullets"/>
      <w:lvlText w:val=""/>
      <w:lvlJc w:val="left"/>
      <w:pPr>
        <w:ind w:left="644" w:hanging="360"/>
      </w:pPr>
      <w:rPr>
        <w:rFonts w:ascii="Symbol" w:hAnsi="Symbol" w:hint="default"/>
        <w:color w:val="005874"/>
      </w:rPr>
    </w:lvl>
    <w:lvl w:ilvl="1">
      <w:numFmt w:val="decimal"/>
      <w:lvlText w:val="»"/>
      <w:lvlJc w:val="left"/>
      <w:pPr>
        <w:ind w:left="1004" w:hanging="360"/>
      </w:pPr>
      <w:rPr>
        <w:rFonts w:ascii="Arial" w:hAnsi="Arial" w:cs="Times New Roman" w:hint="default"/>
        <w:color w:val="005874"/>
      </w:rPr>
    </w:lvl>
    <w:lvl w:ilvl="2">
      <w:numFmt w:val="decimal"/>
      <w:lvlText w:val="›"/>
      <w:lvlJc w:val="left"/>
      <w:pPr>
        <w:ind w:left="1364" w:hanging="360"/>
      </w:pPr>
      <w:rPr>
        <w:rFonts w:ascii="Arial" w:hAnsi="Arial" w:cs="Times New Roman" w:hint="default"/>
        <w:color w:val="005874"/>
      </w:rPr>
    </w:lvl>
    <w:lvl w:ilvl="3">
      <w:start w:val="1"/>
      <w:numFmt w:val="decimal"/>
      <w:lvlText w:val="(%4)"/>
      <w:lvlJc w:val="left"/>
      <w:pPr>
        <w:ind w:left="1724" w:hanging="360"/>
      </w:pPr>
    </w:lvl>
    <w:lvl w:ilvl="4">
      <w:start w:val="1"/>
      <w:numFmt w:val="lowerLetter"/>
      <w:lvlText w:val="(%5)"/>
      <w:lvlJc w:val="left"/>
      <w:pPr>
        <w:ind w:left="2084" w:hanging="360"/>
      </w:pPr>
    </w:lvl>
    <w:lvl w:ilvl="5">
      <w:start w:val="1"/>
      <w:numFmt w:val="lowerRoman"/>
      <w:lvlText w:val="(%6)"/>
      <w:lvlJc w:val="left"/>
      <w:pPr>
        <w:ind w:left="2444" w:hanging="360"/>
      </w:pPr>
    </w:lvl>
    <w:lvl w:ilvl="6">
      <w:start w:val="1"/>
      <w:numFmt w:val="decimal"/>
      <w:lvlText w:val="%7."/>
      <w:lvlJc w:val="left"/>
      <w:pPr>
        <w:ind w:left="2804" w:hanging="360"/>
      </w:pPr>
    </w:lvl>
    <w:lvl w:ilvl="7">
      <w:start w:val="1"/>
      <w:numFmt w:val="lowerLetter"/>
      <w:lvlText w:val="%8."/>
      <w:lvlJc w:val="left"/>
      <w:pPr>
        <w:ind w:left="3164" w:hanging="360"/>
      </w:pPr>
    </w:lvl>
    <w:lvl w:ilvl="8">
      <w:start w:val="1"/>
      <w:numFmt w:val="lowerRoman"/>
      <w:lvlText w:val="%9."/>
      <w:lvlJc w:val="left"/>
      <w:pPr>
        <w:ind w:left="3524" w:hanging="360"/>
      </w:pPr>
    </w:lvl>
  </w:abstractNum>
  <w:abstractNum w:abstractNumId="22" w15:restartNumberingAfterBreak="0">
    <w:nsid w:val="3F5A1BD5"/>
    <w:multiLevelType w:val="hybridMultilevel"/>
    <w:tmpl w:val="EB304E1A"/>
    <w:name w:val="CERBullets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DE34D8E"/>
    <w:multiLevelType w:val="multilevel"/>
    <w:tmpl w:val="EBE0AFD0"/>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F5B111B"/>
    <w:multiLevelType w:val="multilevel"/>
    <w:tmpl w:val="CA7A5ED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56FF48AB"/>
    <w:multiLevelType w:val="hybridMultilevel"/>
    <w:tmpl w:val="3544BC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AFF30DD"/>
    <w:multiLevelType w:val="hybridMultilevel"/>
    <w:tmpl w:val="F3C0C4A8"/>
    <w:lvl w:ilvl="0" w:tplc="7242BB74">
      <w:start w:val="1"/>
      <w:numFmt w:val="bullet"/>
      <w:lvlText w:val="›"/>
      <w:lvlJc w:val="left"/>
      <w:pPr>
        <w:ind w:left="757" w:hanging="360"/>
      </w:pPr>
      <w:rPr>
        <w:rFonts w:ascii="Arial" w:hAnsi="Aria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7" w15:restartNumberingAfterBreak="0">
    <w:nsid w:val="5CFD18CA"/>
    <w:multiLevelType w:val="multilevel"/>
    <w:tmpl w:val="E9982BDA"/>
    <w:lvl w:ilvl="0">
      <w:start w:val="1"/>
      <w:numFmt w:val="decimal"/>
      <w:pStyle w:val="CERnumbering"/>
      <w:lvlText w:val="%1."/>
      <w:lvlJc w:val="left"/>
      <w:pPr>
        <w:ind w:left="360" w:hanging="360"/>
      </w:pPr>
      <w:rPr>
        <w:rFonts w:hint="default"/>
        <w:color w:val="005874"/>
      </w:rPr>
    </w:lvl>
    <w:lvl w:ilvl="1">
      <w:start w:val="1"/>
      <w:numFmt w:val="bullet"/>
      <w:lvlText w:val="»"/>
      <w:lvlJc w:val="left"/>
      <w:pPr>
        <w:ind w:left="720" w:hanging="360"/>
      </w:pPr>
      <w:rPr>
        <w:rFonts w:ascii="Arial" w:hAnsi="Arial" w:hint="default"/>
        <w:color w:val="005874"/>
      </w:rPr>
    </w:lvl>
    <w:lvl w:ilvl="2">
      <w:start w:val="1"/>
      <w:numFmt w:val="bullet"/>
      <w:lvlText w:val="›"/>
      <w:lvlJc w:val="left"/>
      <w:pPr>
        <w:ind w:left="1080" w:hanging="360"/>
      </w:pPr>
      <w:rPr>
        <w:rFonts w:ascii="Arial" w:hAnsi="Arial" w:hint="default"/>
        <w:color w:val="00587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6AB321E6"/>
    <w:multiLevelType w:val="hybridMultilevel"/>
    <w:tmpl w:val="1F520E5C"/>
    <w:lvl w:ilvl="0" w:tplc="4442E63C">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9DB23C0"/>
    <w:multiLevelType w:val="multilevel"/>
    <w:tmpl w:val="CE947A96"/>
    <w:name w:val="CERBullets22"/>
    <w:lvl w:ilvl="0">
      <w:start w:val="1"/>
      <w:numFmt w:val="bullet"/>
      <w:pStyle w:val="CERbullets"/>
      <w:lvlText w:val=""/>
      <w:lvlJc w:val="left"/>
      <w:pPr>
        <w:ind w:left="360" w:hanging="360"/>
      </w:pPr>
      <w:rPr>
        <w:rFonts w:ascii="Symbol" w:hAnsi="Symbol" w:hint="default"/>
        <w:color w:val="005874"/>
      </w:rPr>
    </w:lvl>
    <w:lvl w:ilvl="1">
      <w:start w:val="1"/>
      <w:numFmt w:val="bullet"/>
      <w:lvlText w:val="»"/>
      <w:lvlJc w:val="left"/>
      <w:pPr>
        <w:ind w:left="720" w:hanging="360"/>
      </w:pPr>
      <w:rPr>
        <w:rFonts w:ascii="Arial" w:hAnsi="Arial" w:hint="default"/>
        <w:color w:val="005874"/>
      </w:rPr>
    </w:lvl>
    <w:lvl w:ilvl="2">
      <w:start w:val="1"/>
      <w:numFmt w:val="bullet"/>
      <w:lvlText w:val="›"/>
      <w:lvlJc w:val="left"/>
      <w:pPr>
        <w:ind w:left="1080" w:hanging="360"/>
      </w:pPr>
      <w:rPr>
        <w:rFonts w:ascii="Arial" w:hAnsi="Arial" w:hint="default"/>
        <w:color w:val="00587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7D6E3F1C"/>
    <w:multiLevelType w:val="multilevel"/>
    <w:tmpl w:val="32AA175E"/>
    <w:lvl w:ilvl="0">
      <w:start w:val="1"/>
      <w:numFmt w:val="bullet"/>
      <w:lvlText w:val=""/>
      <w:lvlJc w:val="left"/>
      <w:pPr>
        <w:ind w:left="360" w:hanging="360"/>
      </w:pPr>
      <w:rPr>
        <w:rFonts w:ascii="Symbol" w:hAnsi="Symbol" w:hint="default"/>
        <w:color w:val="006EA6"/>
      </w:rPr>
    </w:lvl>
    <w:lvl w:ilvl="1">
      <w:start w:val="1"/>
      <w:numFmt w:val="bullet"/>
      <w:lvlText w:val="»"/>
      <w:lvlJc w:val="left"/>
      <w:pPr>
        <w:ind w:left="720" w:hanging="360"/>
      </w:pPr>
      <w:rPr>
        <w:rFonts w:ascii="Arial" w:hAnsi="Arial" w:hint="default"/>
        <w:color w:val="006EA6"/>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907296395">
    <w:abstractNumId w:val="24"/>
  </w:num>
  <w:num w:numId="2" w16cid:durableId="689987352">
    <w:abstractNumId w:val="16"/>
  </w:num>
  <w:num w:numId="3" w16cid:durableId="1934164834">
    <w:abstractNumId w:val="17"/>
  </w:num>
  <w:num w:numId="4" w16cid:durableId="1775127632">
    <w:abstractNumId w:val="12"/>
  </w:num>
  <w:num w:numId="5" w16cid:durableId="560211920">
    <w:abstractNumId w:val="13"/>
  </w:num>
  <w:num w:numId="6" w16cid:durableId="1884250710">
    <w:abstractNumId w:val="20"/>
  </w:num>
  <w:num w:numId="7" w16cid:durableId="1063870439">
    <w:abstractNumId w:val="26"/>
  </w:num>
  <w:num w:numId="8" w16cid:durableId="1908958460">
    <w:abstractNumId w:val="13"/>
  </w:num>
  <w:num w:numId="9" w16cid:durableId="1701321830">
    <w:abstractNumId w:val="9"/>
  </w:num>
  <w:num w:numId="10" w16cid:durableId="1869174282">
    <w:abstractNumId w:val="7"/>
  </w:num>
  <w:num w:numId="11" w16cid:durableId="520975216">
    <w:abstractNumId w:val="6"/>
  </w:num>
  <w:num w:numId="12" w16cid:durableId="1465661155">
    <w:abstractNumId w:val="5"/>
  </w:num>
  <w:num w:numId="13" w16cid:durableId="147787184">
    <w:abstractNumId w:val="4"/>
  </w:num>
  <w:num w:numId="14" w16cid:durableId="1422213340">
    <w:abstractNumId w:val="8"/>
  </w:num>
  <w:num w:numId="15" w16cid:durableId="839663075">
    <w:abstractNumId w:val="3"/>
  </w:num>
  <w:num w:numId="16" w16cid:durableId="1464544058">
    <w:abstractNumId w:val="2"/>
  </w:num>
  <w:num w:numId="17" w16cid:durableId="1241020853">
    <w:abstractNumId w:val="1"/>
  </w:num>
  <w:num w:numId="18" w16cid:durableId="1173716892">
    <w:abstractNumId w:val="0"/>
  </w:num>
  <w:num w:numId="19" w16cid:durableId="897130763">
    <w:abstractNumId w:val="11"/>
  </w:num>
  <w:num w:numId="20" w16cid:durableId="41950883">
    <w:abstractNumId w:val="14"/>
  </w:num>
  <w:num w:numId="21" w16cid:durableId="1131090775">
    <w:abstractNumId w:val="29"/>
  </w:num>
  <w:num w:numId="22" w16cid:durableId="1364600478">
    <w:abstractNumId w:val="10"/>
  </w:num>
  <w:num w:numId="23" w16cid:durableId="1933322157">
    <w:abstractNumId w:val="30"/>
  </w:num>
  <w:num w:numId="24" w16cid:durableId="962350580">
    <w:abstractNumId w:val="22"/>
  </w:num>
  <w:num w:numId="25" w16cid:durableId="200823495">
    <w:abstractNumId w:val="19"/>
  </w:num>
  <w:num w:numId="26" w16cid:durableId="1344353852">
    <w:abstractNumId w:val="15"/>
  </w:num>
  <w:num w:numId="27" w16cid:durableId="1708798358">
    <w:abstractNumId w:val="28"/>
  </w:num>
  <w:num w:numId="28" w16cid:durableId="1492411385">
    <w:abstractNumId w:val="25"/>
  </w:num>
  <w:num w:numId="29" w16cid:durableId="764887555">
    <w:abstractNumId w:val="23"/>
  </w:num>
  <w:num w:numId="30" w16cid:durableId="15426605">
    <w:abstractNumId w:val="27"/>
  </w:num>
  <w:num w:numId="31" w16cid:durableId="1551454743">
    <w:abstractNumId w:val="21"/>
  </w:num>
  <w:num w:numId="32" w16cid:durableId="1534883151">
    <w:abstractNumId w:val="2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22952079">
    <w:abstractNumId w:val="18"/>
  </w:num>
  <w:num w:numId="34" w16cid:durableId="400248594">
    <w:abstractNumId w:val="21"/>
  </w:num>
  <w:num w:numId="35" w16cid:durableId="17338891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formatting="1" w:enforcement="1" w:cryptProviderType="rsaAES" w:cryptAlgorithmClass="hash" w:cryptAlgorithmType="typeAny" w:cryptAlgorithmSid="14" w:cryptSpinCount="100000" w:hash="1ZnXdJXUAXVfC/vePozEkDCFfA9QrUYn3zSu2iftqjp1/q8L+50gmSp7Lzi7e65iAW3xdsn5ihnNRb6eWlhebw==" w:salt="HY08sid05nvV1PeWs/xtLA=="/>
  <w:defaultTabStop w:val="720"/>
  <w:drawingGridHorizontalSpacing w:val="360"/>
  <w:drawingGridVerticalSpacing w:val="360"/>
  <w:displayHorizontalDrawingGridEvery w:val="0"/>
  <w:displayVerticalDrawingGridEvery w:val="0"/>
  <w:characterSpacingControl w:val="doNotCompress"/>
  <w:hdrShapeDefaults>
    <o:shapedefaults v:ext="edit" spidmax="2050">
      <o:colormru v:ext="edit" colors="#006ea6"/>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087"/>
    <w:rsid w:val="00022291"/>
    <w:rsid w:val="00024D10"/>
    <w:rsid w:val="00026B27"/>
    <w:rsid w:val="00031090"/>
    <w:rsid w:val="0003582F"/>
    <w:rsid w:val="000378B6"/>
    <w:rsid w:val="0004799C"/>
    <w:rsid w:val="00061FB9"/>
    <w:rsid w:val="000678AA"/>
    <w:rsid w:val="000831C3"/>
    <w:rsid w:val="000906DE"/>
    <w:rsid w:val="000A0DD5"/>
    <w:rsid w:val="000B2225"/>
    <w:rsid w:val="000C6F0B"/>
    <w:rsid w:val="000D570E"/>
    <w:rsid w:val="000E5A13"/>
    <w:rsid w:val="000F6B44"/>
    <w:rsid w:val="00112E29"/>
    <w:rsid w:val="001170C4"/>
    <w:rsid w:val="00127183"/>
    <w:rsid w:val="001276AA"/>
    <w:rsid w:val="00163670"/>
    <w:rsid w:val="001651F7"/>
    <w:rsid w:val="00172431"/>
    <w:rsid w:val="00176871"/>
    <w:rsid w:val="00176C28"/>
    <w:rsid w:val="00192E34"/>
    <w:rsid w:val="00193A6C"/>
    <w:rsid w:val="0019741A"/>
    <w:rsid w:val="00197F43"/>
    <w:rsid w:val="001B43B2"/>
    <w:rsid w:val="001B66AA"/>
    <w:rsid w:val="001D5E01"/>
    <w:rsid w:val="001E0F6A"/>
    <w:rsid w:val="001E77AE"/>
    <w:rsid w:val="002072B3"/>
    <w:rsid w:val="002118E5"/>
    <w:rsid w:val="00214C5E"/>
    <w:rsid w:val="00216E5D"/>
    <w:rsid w:val="0021754A"/>
    <w:rsid w:val="0021782A"/>
    <w:rsid w:val="00231601"/>
    <w:rsid w:val="00235B98"/>
    <w:rsid w:val="0025146E"/>
    <w:rsid w:val="002519C4"/>
    <w:rsid w:val="00255F3F"/>
    <w:rsid w:val="002622E9"/>
    <w:rsid w:val="00267FB4"/>
    <w:rsid w:val="00273375"/>
    <w:rsid w:val="00290E3D"/>
    <w:rsid w:val="0029262D"/>
    <w:rsid w:val="002A4136"/>
    <w:rsid w:val="002A6E6B"/>
    <w:rsid w:val="002A7EA6"/>
    <w:rsid w:val="002C12B3"/>
    <w:rsid w:val="002C427B"/>
    <w:rsid w:val="002E35AC"/>
    <w:rsid w:val="002E4418"/>
    <w:rsid w:val="002F1986"/>
    <w:rsid w:val="00325640"/>
    <w:rsid w:val="00337CCB"/>
    <w:rsid w:val="00345C61"/>
    <w:rsid w:val="00360D90"/>
    <w:rsid w:val="00365CD3"/>
    <w:rsid w:val="00370CE8"/>
    <w:rsid w:val="00371059"/>
    <w:rsid w:val="0038645A"/>
    <w:rsid w:val="003A0D22"/>
    <w:rsid w:val="003A241D"/>
    <w:rsid w:val="003A5739"/>
    <w:rsid w:val="003A760B"/>
    <w:rsid w:val="003D5E38"/>
    <w:rsid w:val="0041419B"/>
    <w:rsid w:val="00420BF6"/>
    <w:rsid w:val="00424CC6"/>
    <w:rsid w:val="00426275"/>
    <w:rsid w:val="004510E0"/>
    <w:rsid w:val="004559EF"/>
    <w:rsid w:val="00465287"/>
    <w:rsid w:val="00467E1E"/>
    <w:rsid w:val="00471682"/>
    <w:rsid w:val="004720BE"/>
    <w:rsid w:val="00480154"/>
    <w:rsid w:val="00484024"/>
    <w:rsid w:val="00494591"/>
    <w:rsid w:val="00494F07"/>
    <w:rsid w:val="004A2544"/>
    <w:rsid w:val="004A581F"/>
    <w:rsid w:val="004B6AF5"/>
    <w:rsid w:val="004C6DF4"/>
    <w:rsid w:val="004D3F8B"/>
    <w:rsid w:val="004E04C1"/>
    <w:rsid w:val="004E40FC"/>
    <w:rsid w:val="00503948"/>
    <w:rsid w:val="00516089"/>
    <w:rsid w:val="00523B31"/>
    <w:rsid w:val="0052457E"/>
    <w:rsid w:val="0053370B"/>
    <w:rsid w:val="00540CFB"/>
    <w:rsid w:val="005430A4"/>
    <w:rsid w:val="00562303"/>
    <w:rsid w:val="00567E6F"/>
    <w:rsid w:val="00572D7F"/>
    <w:rsid w:val="0057334D"/>
    <w:rsid w:val="00585D42"/>
    <w:rsid w:val="005A266D"/>
    <w:rsid w:val="005B0AC9"/>
    <w:rsid w:val="00602E93"/>
    <w:rsid w:val="006039AA"/>
    <w:rsid w:val="0061010A"/>
    <w:rsid w:val="00622DA5"/>
    <w:rsid w:val="00632E89"/>
    <w:rsid w:val="006423DF"/>
    <w:rsid w:val="00644B18"/>
    <w:rsid w:val="006530B0"/>
    <w:rsid w:val="00654235"/>
    <w:rsid w:val="0065750A"/>
    <w:rsid w:val="00660756"/>
    <w:rsid w:val="00662855"/>
    <w:rsid w:val="00662ED8"/>
    <w:rsid w:val="00670400"/>
    <w:rsid w:val="00672D1D"/>
    <w:rsid w:val="00674932"/>
    <w:rsid w:val="00676855"/>
    <w:rsid w:val="00680B5A"/>
    <w:rsid w:val="0068592E"/>
    <w:rsid w:val="006A00D5"/>
    <w:rsid w:val="006A1906"/>
    <w:rsid w:val="006A37D7"/>
    <w:rsid w:val="006A7A4E"/>
    <w:rsid w:val="006B19E9"/>
    <w:rsid w:val="006D657C"/>
    <w:rsid w:val="006E20EA"/>
    <w:rsid w:val="0070214E"/>
    <w:rsid w:val="00724B10"/>
    <w:rsid w:val="00761308"/>
    <w:rsid w:val="0076397A"/>
    <w:rsid w:val="00767FAB"/>
    <w:rsid w:val="007773D1"/>
    <w:rsid w:val="00777AD4"/>
    <w:rsid w:val="007813EC"/>
    <w:rsid w:val="00790E79"/>
    <w:rsid w:val="007A5CF8"/>
    <w:rsid w:val="007B31E7"/>
    <w:rsid w:val="007C310C"/>
    <w:rsid w:val="007C47B2"/>
    <w:rsid w:val="007C7046"/>
    <w:rsid w:val="007E5773"/>
    <w:rsid w:val="008039E4"/>
    <w:rsid w:val="00805087"/>
    <w:rsid w:val="00805956"/>
    <w:rsid w:val="00816D8B"/>
    <w:rsid w:val="00817C6E"/>
    <w:rsid w:val="00826A84"/>
    <w:rsid w:val="008340C0"/>
    <w:rsid w:val="00870DB2"/>
    <w:rsid w:val="00877B4F"/>
    <w:rsid w:val="00880E64"/>
    <w:rsid w:val="00885AB6"/>
    <w:rsid w:val="00890472"/>
    <w:rsid w:val="00897C10"/>
    <w:rsid w:val="008A4F2A"/>
    <w:rsid w:val="008B0D79"/>
    <w:rsid w:val="008C28E0"/>
    <w:rsid w:val="008C4164"/>
    <w:rsid w:val="008C63A1"/>
    <w:rsid w:val="008E25C9"/>
    <w:rsid w:val="008E6CE0"/>
    <w:rsid w:val="008F548E"/>
    <w:rsid w:val="00906DED"/>
    <w:rsid w:val="00930D2E"/>
    <w:rsid w:val="0093226C"/>
    <w:rsid w:val="009374C2"/>
    <w:rsid w:val="00950A8F"/>
    <w:rsid w:val="009675C0"/>
    <w:rsid w:val="009757EB"/>
    <w:rsid w:val="009801E4"/>
    <w:rsid w:val="0098072A"/>
    <w:rsid w:val="00991A56"/>
    <w:rsid w:val="00997DB2"/>
    <w:rsid w:val="009A2199"/>
    <w:rsid w:val="009A2E7F"/>
    <w:rsid w:val="009C30B4"/>
    <w:rsid w:val="009D01EB"/>
    <w:rsid w:val="009D24BC"/>
    <w:rsid w:val="009D28C6"/>
    <w:rsid w:val="009D4D75"/>
    <w:rsid w:val="009E0364"/>
    <w:rsid w:val="009F2C9A"/>
    <w:rsid w:val="00A05285"/>
    <w:rsid w:val="00A114F2"/>
    <w:rsid w:val="00A1355E"/>
    <w:rsid w:val="00A3375F"/>
    <w:rsid w:val="00A41A11"/>
    <w:rsid w:val="00A44C0C"/>
    <w:rsid w:val="00A50A9D"/>
    <w:rsid w:val="00A5316E"/>
    <w:rsid w:val="00A66DAF"/>
    <w:rsid w:val="00A806F2"/>
    <w:rsid w:val="00A806FA"/>
    <w:rsid w:val="00A93204"/>
    <w:rsid w:val="00AA324E"/>
    <w:rsid w:val="00AB04A4"/>
    <w:rsid w:val="00AB1D66"/>
    <w:rsid w:val="00AD3999"/>
    <w:rsid w:val="00AD649E"/>
    <w:rsid w:val="00AF0850"/>
    <w:rsid w:val="00AF3310"/>
    <w:rsid w:val="00AF5F77"/>
    <w:rsid w:val="00B338A9"/>
    <w:rsid w:val="00B44479"/>
    <w:rsid w:val="00B7733B"/>
    <w:rsid w:val="00B832A4"/>
    <w:rsid w:val="00BA3D6B"/>
    <w:rsid w:val="00BB7E58"/>
    <w:rsid w:val="00BD5ED5"/>
    <w:rsid w:val="00C067A3"/>
    <w:rsid w:val="00C06FDE"/>
    <w:rsid w:val="00C3122E"/>
    <w:rsid w:val="00C33420"/>
    <w:rsid w:val="00C345D2"/>
    <w:rsid w:val="00C40CF0"/>
    <w:rsid w:val="00C470BF"/>
    <w:rsid w:val="00C47609"/>
    <w:rsid w:val="00C76127"/>
    <w:rsid w:val="00C86B48"/>
    <w:rsid w:val="00CA3DBC"/>
    <w:rsid w:val="00CA63D2"/>
    <w:rsid w:val="00CB7ED6"/>
    <w:rsid w:val="00CC1E18"/>
    <w:rsid w:val="00CD1023"/>
    <w:rsid w:val="00CE5355"/>
    <w:rsid w:val="00CE5A5A"/>
    <w:rsid w:val="00CF79E1"/>
    <w:rsid w:val="00D012D0"/>
    <w:rsid w:val="00D07937"/>
    <w:rsid w:val="00D1081B"/>
    <w:rsid w:val="00D17704"/>
    <w:rsid w:val="00D400F5"/>
    <w:rsid w:val="00D435BB"/>
    <w:rsid w:val="00D573F6"/>
    <w:rsid w:val="00D60280"/>
    <w:rsid w:val="00D63332"/>
    <w:rsid w:val="00D77F1C"/>
    <w:rsid w:val="00D81782"/>
    <w:rsid w:val="00D91222"/>
    <w:rsid w:val="00DB16FB"/>
    <w:rsid w:val="00DB4D01"/>
    <w:rsid w:val="00DC3A30"/>
    <w:rsid w:val="00DD61F7"/>
    <w:rsid w:val="00DE3785"/>
    <w:rsid w:val="00DF0F4C"/>
    <w:rsid w:val="00DF2363"/>
    <w:rsid w:val="00DF46D8"/>
    <w:rsid w:val="00E22573"/>
    <w:rsid w:val="00E244E4"/>
    <w:rsid w:val="00E42D65"/>
    <w:rsid w:val="00E770EC"/>
    <w:rsid w:val="00E84269"/>
    <w:rsid w:val="00E94FFF"/>
    <w:rsid w:val="00E956A9"/>
    <w:rsid w:val="00EA455D"/>
    <w:rsid w:val="00EA7A28"/>
    <w:rsid w:val="00EB65B1"/>
    <w:rsid w:val="00EB7320"/>
    <w:rsid w:val="00EC2DFD"/>
    <w:rsid w:val="00EE3300"/>
    <w:rsid w:val="00EF5383"/>
    <w:rsid w:val="00EF79A9"/>
    <w:rsid w:val="00F1084B"/>
    <w:rsid w:val="00F2767A"/>
    <w:rsid w:val="00F32404"/>
    <w:rsid w:val="00F33582"/>
    <w:rsid w:val="00F42382"/>
    <w:rsid w:val="00F43682"/>
    <w:rsid w:val="00F67F4E"/>
    <w:rsid w:val="00F70B17"/>
    <w:rsid w:val="00F71D97"/>
    <w:rsid w:val="00F749F0"/>
    <w:rsid w:val="00F76419"/>
    <w:rsid w:val="00F8070C"/>
    <w:rsid w:val="00F8675F"/>
    <w:rsid w:val="00F92C73"/>
    <w:rsid w:val="00F9392B"/>
    <w:rsid w:val="00F94571"/>
    <w:rsid w:val="00FA122E"/>
    <w:rsid w:val="00FA7635"/>
    <w:rsid w:val="00FB26CE"/>
    <w:rsid w:val="00FC0CE2"/>
    <w:rsid w:val="00FC20CB"/>
    <w:rsid w:val="00FC5CAA"/>
    <w:rsid w:val="00FD1F1E"/>
    <w:rsid w:val="00FD2635"/>
  </w:rsids>
  <m:mathPr>
    <m:mathFont m:val="Cambria Math"/>
    <m:brkBin m:val="before"/>
    <m:brkBinSub m:val="--"/>
    <m:smallFrac m:val="0"/>
    <m:dispDef m:val="0"/>
    <m:lMargin m:val="0"/>
    <m:rMargin m:val="0"/>
    <m:defJc m:val="centerGroup"/>
    <m:wrapRight/>
    <m:intLim m:val="subSup"/>
    <m:naryLim m:val="subSup"/>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006ea6"/>
    </o:shapedefaults>
    <o:shapelayout v:ext="edit">
      <o:idmap v:ext="edit" data="2"/>
    </o:shapelayout>
  </w:shapeDefaults>
  <w:decimalSymbol w:val="."/>
  <w:listSeparator w:val=","/>
  <w14:docId w14:val="2D86FBAE"/>
  <w15:docId w15:val="{35533512-E24C-461D-8093-8629F0F42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宋体"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iPriority="6" w:unhideWhenUsed="1" w:qFormat="1"/>
    <w:lsdException w:name="heading 6" w:semiHidden="1" w:unhideWhenUsed="1"/>
    <w:lsdException w:name="heading 7" w:semiHidden="1" w:unhideWhenUsed="1"/>
    <w:lsdException w:name="heading 8" w:semiHidden="1" w:uiPriority="99" w:unhideWhenUsed="1" w:qFormat="1"/>
    <w:lsdException w:name="heading 9" w:semiHidden="1" w:uiPriority="9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99" w:unhideWhenUsed="1"/>
    <w:lsdException w:name="toc 2" w:semiHidden="1" w:uiPriority="99" w:unhideWhenUsed="1"/>
    <w:lsdException w:name="toc 3" w:semiHidden="1" w:uiPriority="99" w:unhideWhenUsed="1"/>
    <w:lsdException w:name="toc 4" w:semiHidden="1" w:uiPriority="99" w:unhideWhenUsed="1"/>
    <w:lsdException w:name="toc 5" w:semiHidden="1" w:uiPriority="99" w:unhideWhenUsed="1"/>
    <w:lsdException w:name="toc 6" w:semiHidden="1" w:uiPriority="99" w:unhideWhenUsed="1"/>
    <w:lsdException w:name="toc 7" w:semiHidden="1" w:uiPriority="99" w:unhideWhenUsed="1"/>
    <w:lsdException w:name="toc 8" w:semiHidden="1" w:uiPriority="99" w:unhideWhenUsed="1"/>
    <w:lsdException w:name="toc 9" w:semiHidden="1" w:uiPriority="99"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uiPriority="99"/>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99"/>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99"/>
    <w:lsdException w:name="Salutation" w:uiPriority="99"/>
    <w:lsdException w:name="Date" w:uiPriority="99"/>
    <w:lsdException w:name="Body Text First Indent" w:uiPriority="99"/>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99"/>
    <w:lsdException w:name="Emphasis" w:uiPriority="99"/>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lsdException w:name="Quote" w:uiPriority="99"/>
    <w:lsdException w:name="Intense Quote"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99"/>
    <w:lsdException w:name="Intense Emphasis" w:uiPriority="99"/>
    <w:lsdException w:name="Subtle Reference" w:uiPriority="99"/>
    <w:lsdException w:name="Intense Reference" w:uiPriority="99"/>
    <w:lsdException w:name="Book Title" w:uiPriority="99"/>
    <w:lsdException w:name="Bibliography" w:semiHidden="1" w:uiPriority="99"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8"/>
    <w:qFormat/>
    <w:rsid w:val="00FA7635"/>
    <w:pPr>
      <w:spacing w:after="200"/>
    </w:pPr>
    <w:rPr>
      <w:rFonts w:asciiTheme="minorHAnsi" w:hAnsiTheme="minorHAnsi" w:cstheme="minorHAnsi"/>
      <w:color w:val="000000" w:themeColor="text1"/>
      <w:sz w:val="22"/>
      <w:szCs w:val="24"/>
      <w:lang w:eastAsia="en-US"/>
    </w:rPr>
  </w:style>
  <w:style w:type="paragraph" w:styleId="1">
    <w:name w:val="heading 1"/>
    <w:aliases w:val="CER Heading 1"/>
    <w:next w:val="2"/>
    <w:link w:val="10"/>
    <w:uiPriority w:val="2"/>
    <w:qFormat/>
    <w:rsid w:val="00FA7635"/>
    <w:pPr>
      <w:keepNext/>
      <w:spacing w:before="280" w:after="200"/>
      <w:outlineLvl w:val="0"/>
    </w:pPr>
    <w:rPr>
      <w:rFonts w:asciiTheme="minorHAnsi" w:eastAsia="Times New Roman" w:hAnsiTheme="minorHAnsi" w:cstheme="minorHAnsi"/>
      <w:b/>
      <w:bCs/>
      <w:color w:val="005874"/>
      <w:kern w:val="32"/>
      <w:sz w:val="40"/>
      <w:szCs w:val="24"/>
      <w:lang w:eastAsia="en-US"/>
    </w:rPr>
  </w:style>
  <w:style w:type="paragraph" w:styleId="2">
    <w:name w:val="heading 2"/>
    <w:aliases w:val="CER Heading 2"/>
    <w:basedOn w:val="a"/>
    <w:next w:val="a"/>
    <w:link w:val="20"/>
    <w:uiPriority w:val="3"/>
    <w:qFormat/>
    <w:rsid w:val="00FA7635"/>
    <w:pPr>
      <w:keepNext/>
      <w:keepLines/>
      <w:spacing w:before="280"/>
      <w:outlineLvl w:val="1"/>
    </w:pPr>
    <w:rPr>
      <w:rFonts w:eastAsia="Times New Roman"/>
      <w:b/>
      <w:bCs/>
      <w:color w:val="005874"/>
      <w:sz w:val="30"/>
      <w:szCs w:val="26"/>
    </w:rPr>
  </w:style>
  <w:style w:type="paragraph" w:styleId="3">
    <w:name w:val="heading 3"/>
    <w:aliases w:val="CER Heading 3"/>
    <w:next w:val="a"/>
    <w:link w:val="30"/>
    <w:uiPriority w:val="4"/>
    <w:qFormat/>
    <w:rsid w:val="00FA7635"/>
    <w:pPr>
      <w:keepNext/>
      <w:keepLines/>
      <w:spacing w:before="240" w:after="200"/>
      <w:outlineLvl w:val="2"/>
    </w:pPr>
    <w:rPr>
      <w:rFonts w:asciiTheme="minorHAnsi" w:eastAsia="Times New Roman" w:hAnsiTheme="minorHAnsi" w:cstheme="minorHAnsi"/>
      <w:b/>
      <w:bCs/>
      <w:color w:val="005874"/>
      <w:sz w:val="25"/>
      <w:szCs w:val="24"/>
      <w:lang w:eastAsia="en-US"/>
    </w:rPr>
  </w:style>
  <w:style w:type="paragraph" w:styleId="4">
    <w:name w:val="heading 4"/>
    <w:aliases w:val="CER Heading 4"/>
    <w:basedOn w:val="a"/>
    <w:next w:val="a"/>
    <w:link w:val="40"/>
    <w:uiPriority w:val="5"/>
    <w:unhideWhenUsed/>
    <w:qFormat/>
    <w:rsid w:val="00FA7635"/>
    <w:pPr>
      <w:keepNext/>
      <w:spacing w:before="240"/>
      <w:outlineLvl w:val="3"/>
    </w:pPr>
    <w:rPr>
      <w:rFonts w:eastAsiaTheme="minorEastAsia" w:cstheme="minorBidi"/>
      <w:bCs/>
      <w:color w:val="005874"/>
      <w:sz w:val="25"/>
      <w:szCs w:val="28"/>
    </w:rPr>
  </w:style>
  <w:style w:type="paragraph" w:styleId="5">
    <w:name w:val="heading 5"/>
    <w:aliases w:val="CER Heading 5"/>
    <w:basedOn w:val="a"/>
    <w:next w:val="a"/>
    <w:link w:val="50"/>
    <w:uiPriority w:val="6"/>
    <w:unhideWhenUsed/>
    <w:qFormat/>
    <w:rsid w:val="00FA7635"/>
    <w:pPr>
      <w:keepNext/>
      <w:keepLines/>
      <w:spacing w:before="240"/>
      <w:outlineLvl w:val="4"/>
    </w:pPr>
    <w:rPr>
      <w:rFonts w:eastAsiaTheme="majorEastAsia" w:cstheme="majorBidi"/>
      <w:b/>
    </w:rPr>
  </w:style>
  <w:style w:type="paragraph" w:styleId="6">
    <w:name w:val="heading 6"/>
    <w:aliases w:val="CER Heading 6"/>
    <w:basedOn w:val="a"/>
    <w:next w:val="a"/>
    <w:link w:val="60"/>
    <w:uiPriority w:val="99"/>
    <w:unhideWhenUsed/>
    <w:rsid w:val="00674932"/>
    <w:pPr>
      <w:tabs>
        <w:tab w:val="left" w:pos="1633"/>
      </w:tabs>
      <w:spacing w:before="240"/>
      <w:outlineLvl w:val="5"/>
    </w:pPr>
    <w:rPr>
      <w:rFonts w:eastAsiaTheme="minorEastAsia" w:cstheme="minorBidi"/>
      <w:b/>
      <w:bCs/>
      <w:sz w:val="21"/>
      <w:szCs w:val="22"/>
    </w:rPr>
  </w:style>
  <w:style w:type="paragraph" w:styleId="7">
    <w:name w:val="heading 7"/>
    <w:basedOn w:val="a"/>
    <w:next w:val="a"/>
    <w:link w:val="70"/>
    <w:uiPriority w:val="99"/>
    <w:unhideWhenUsed/>
    <w:rsid w:val="009D4D75"/>
    <w:pPr>
      <w:keepNext/>
      <w:keepLines/>
      <w:spacing w:before="200" w:after="0"/>
      <w:outlineLvl w:val="6"/>
    </w:pPr>
    <w:rPr>
      <w:rFonts w:eastAsiaTheme="majorEastAsia"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CER Heading 2 字符"/>
    <w:basedOn w:val="a0"/>
    <w:link w:val="2"/>
    <w:uiPriority w:val="3"/>
    <w:rsid w:val="00FA7635"/>
    <w:rPr>
      <w:rFonts w:asciiTheme="minorHAnsi" w:eastAsia="Times New Roman" w:hAnsiTheme="minorHAnsi" w:cstheme="minorHAnsi"/>
      <w:b/>
      <w:bCs/>
      <w:color w:val="005874"/>
      <w:sz w:val="30"/>
      <w:szCs w:val="26"/>
      <w:lang w:eastAsia="en-US"/>
    </w:rPr>
  </w:style>
  <w:style w:type="character" w:customStyle="1" w:styleId="10">
    <w:name w:val="标题 1 字符"/>
    <w:aliases w:val="CER Heading 1 字符"/>
    <w:basedOn w:val="a0"/>
    <w:link w:val="1"/>
    <w:uiPriority w:val="2"/>
    <w:rsid w:val="00FA7635"/>
    <w:rPr>
      <w:rFonts w:asciiTheme="minorHAnsi" w:eastAsia="Times New Roman" w:hAnsiTheme="minorHAnsi" w:cstheme="minorHAnsi"/>
      <w:b/>
      <w:bCs/>
      <w:color w:val="005874"/>
      <w:kern w:val="32"/>
      <w:sz w:val="40"/>
      <w:szCs w:val="24"/>
      <w:lang w:eastAsia="en-US"/>
    </w:rPr>
  </w:style>
  <w:style w:type="character" w:customStyle="1" w:styleId="30">
    <w:name w:val="标题 3 字符"/>
    <w:aliases w:val="CER Heading 3 字符"/>
    <w:basedOn w:val="a0"/>
    <w:link w:val="3"/>
    <w:uiPriority w:val="4"/>
    <w:rsid w:val="00FA7635"/>
    <w:rPr>
      <w:rFonts w:asciiTheme="minorHAnsi" w:eastAsia="Times New Roman" w:hAnsiTheme="minorHAnsi" w:cstheme="minorHAnsi"/>
      <w:b/>
      <w:bCs/>
      <w:color w:val="005874"/>
      <w:sz w:val="25"/>
      <w:szCs w:val="24"/>
      <w:lang w:eastAsia="en-US"/>
    </w:rPr>
  </w:style>
  <w:style w:type="character" w:customStyle="1" w:styleId="40">
    <w:name w:val="标题 4 字符"/>
    <w:aliases w:val="CER Heading 4 字符"/>
    <w:basedOn w:val="a0"/>
    <w:link w:val="4"/>
    <w:uiPriority w:val="5"/>
    <w:rsid w:val="00FA7635"/>
    <w:rPr>
      <w:rFonts w:asciiTheme="minorHAnsi" w:eastAsiaTheme="minorEastAsia" w:hAnsiTheme="minorHAnsi" w:cstheme="minorBidi"/>
      <w:bCs/>
      <w:color w:val="005874"/>
      <w:sz w:val="25"/>
      <w:szCs w:val="28"/>
      <w:lang w:eastAsia="en-US"/>
    </w:rPr>
  </w:style>
  <w:style w:type="character" w:customStyle="1" w:styleId="60">
    <w:name w:val="标题 6 字符"/>
    <w:aliases w:val="CER Heading 6 字符"/>
    <w:basedOn w:val="a0"/>
    <w:link w:val="6"/>
    <w:uiPriority w:val="99"/>
    <w:rsid w:val="00674932"/>
    <w:rPr>
      <w:rFonts w:ascii="Arial" w:eastAsiaTheme="minorEastAsia" w:hAnsi="Arial" w:cstheme="minorBidi"/>
      <w:b/>
      <w:bCs/>
      <w:color w:val="000000" w:themeColor="text1"/>
      <w:sz w:val="21"/>
      <w:szCs w:val="22"/>
      <w:lang w:val="en-US" w:eastAsia="en-US"/>
    </w:rPr>
  </w:style>
  <w:style w:type="paragraph" w:styleId="a3">
    <w:name w:val="header"/>
    <w:basedOn w:val="a"/>
    <w:link w:val="a4"/>
    <w:uiPriority w:val="99"/>
    <w:unhideWhenUsed/>
    <w:rsid w:val="00471682"/>
    <w:pPr>
      <w:tabs>
        <w:tab w:val="center" w:pos="4320"/>
        <w:tab w:val="right" w:pos="8640"/>
      </w:tabs>
    </w:pPr>
  </w:style>
  <w:style w:type="character" w:customStyle="1" w:styleId="a4">
    <w:name w:val="页眉 字符"/>
    <w:basedOn w:val="a0"/>
    <w:link w:val="a3"/>
    <w:uiPriority w:val="99"/>
    <w:rsid w:val="002C427B"/>
    <w:rPr>
      <w:rFonts w:ascii="Arial" w:hAnsi="Arial"/>
      <w:color w:val="000000" w:themeColor="text1"/>
      <w:sz w:val="22"/>
      <w:szCs w:val="24"/>
      <w:lang w:val="en-US" w:eastAsia="en-US"/>
    </w:rPr>
  </w:style>
  <w:style w:type="paragraph" w:styleId="a5">
    <w:name w:val="footer"/>
    <w:basedOn w:val="a"/>
    <w:link w:val="a6"/>
    <w:uiPriority w:val="99"/>
    <w:unhideWhenUsed/>
    <w:rsid w:val="00193A6C"/>
    <w:pPr>
      <w:tabs>
        <w:tab w:val="left" w:pos="2694"/>
        <w:tab w:val="left" w:pos="3969"/>
        <w:tab w:val="left" w:pos="6946"/>
        <w:tab w:val="right" w:pos="9498"/>
      </w:tabs>
      <w:ind w:left="284" w:right="242"/>
    </w:pPr>
    <w:rPr>
      <w:color w:val="005874"/>
      <w:sz w:val="16"/>
      <w:szCs w:val="16"/>
    </w:rPr>
  </w:style>
  <w:style w:type="character" w:customStyle="1" w:styleId="a6">
    <w:name w:val="页脚 字符"/>
    <w:basedOn w:val="a0"/>
    <w:link w:val="a5"/>
    <w:uiPriority w:val="99"/>
    <w:rsid w:val="00193A6C"/>
    <w:rPr>
      <w:rFonts w:asciiTheme="minorHAnsi" w:hAnsiTheme="minorHAnsi" w:cstheme="minorHAnsi"/>
      <w:color w:val="005874"/>
      <w:sz w:val="16"/>
      <w:szCs w:val="16"/>
      <w:lang w:eastAsia="en-US"/>
    </w:rPr>
  </w:style>
  <w:style w:type="character" w:styleId="a7">
    <w:name w:val="Hyperlink"/>
    <w:basedOn w:val="a0"/>
    <w:uiPriority w:val="99"/>
    <w:unhideWhenUsed/>
    <w:rsid w:val="00BD5ED5"/>
    <w:rPr>
      <w:rFonts w:ascii="Calibri" w:hAnsi="Calibri"/>
      <w:color w:val="005874"/>
      <w:sz w:val="22"/>
      <w:u w:val="single"/>
    </w:rPr>
  </w:style>
  <w:style w:type="paragraph" w:customStyle="1" w:styleId="CERbullets">
    <w:name w:val="CER bullets"/>
    <w:basedOn w:val="a"/>
    <w:link w:val="CERbulletsChar"/>
    <w:uiPriority w:val="7"/>
    <w:qFormat/>
    <w:rsid w:val="00FA7635"/>
    <w:pPr>
      <w:numPr>
        <w:numId w:val="21"/>
      </w:numPr>
      <w:spacing w:before="120" w:after="120"/>
      <w:ind w:left="357" w:hanging="357"/>
    </w:pPr>
    <w:rPr>
      <w:color w:val="auto"/>
    </w:rPr>
  </w:style>
  <w:style w:type="character" w:customStyle="1" w:styleId="CERbulletsChar">
    <w:name w:val="CER bullets Char"/>
    <w:basedOn w:val="a0"/>
    <w:link w:val="CERbullets"/>
    <w:uiPriority w:val="7"/>
    <w:rsid w:val="00FA7635"/>
    <w:rPr>
      <w:rFonts w:asciiTheme="minorHAnsi" w:hAnsiTheme="minorHAnsi" w:cstheme="minorHAnsi"/>
      <w:sz w:val="22"/>
      <w:szCs w:val="24"/>
      <w:lang w:eastAsia="en-US"/>
    </w:rPr>
  </w:style>
  <w:style w:type="table" w:customStyle="1" w:styleId="CERTable">
    <w:name w:val="CER Table"/>
    <w:basedOn w:val="a1"/>
    <w:uiPriority w:val="99"/>
    <w:rsid w:val="006423DF"/>
    <w:pPr>
      <w:spacing w:before="120"/>
    </w:pPr>
    <w:rPr>
      <w:rFonts w:ascii="Arial" w:hAnsi="Arial"/>
      <w:color w:val="000000" w:themeColor="text1"/>
      <w:kern w:val="2"/>
    </w:rPr>
    <w:tblPr>
      <w:tblStyleRow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blStylePr w:type="firstRow">
      <w:pPr>
        <w:wordWrap/>
        <w:spacing w:beforeLines="0" w:before="120" w:beforeAutospacing="0" w:afterLines="0" w:after="0" w:afterAutospacing="0" w:line="240" w:lineRule="auto"/>
        <w:ind w:leftChars="0" w:left="0" w:rightChars="0" w:right="0"/>
        <w:contextualSpacing w:val="0"/>
        <w:mirrorIndents w:val="0"/>
        <w:jc w:val="left"/>
        <w:outlineLvl w:val="9"/>
      </w:pPr>
      <w:rPr>
        <w:rFonts w:ascii="Raleway" w:hAnsi="Raleway"/>
        <w:b/>
        <w:color w:val="auto"/>
        <w:sz w:val="20"/>
      </w:rPr>
      <w:tblPr/>
      <w:tcPr>
        <w:shd w:val="clear" w:color="auto" w:fill="CDCDCD"/>
      </w:tcPr>
    </w:tblStylePr>
    <w:tblStylePr w:type="lastRow">
      <w:pPr>
        <w:wordWrap/>
        <w:spacing w:beforeLines="0" w:before="10" w:beforeAutospacing="0" w:afterLines="0" w:after="10" w:afterAutospacing="0"/>
      </w:pPr>
      <w:tblPr/>
      <w:tcPr>
        <w:vAlign w:val="center"/>
      </w:tcPr>
    </w:tblStylePr>
    <w:tblStylePr w:type="firstCol">
      <w:pPr>
        <w:wordWrap/>
        <w:ind w:leftChars="0" w:left="0" w:rightChars="0" w:right="0"/>
        <w:contextualSpacing w:val="0"/>
      </w:pPr>
      <w:rPr>
        <w:rFonts w:ascii="Raleway" w:hAnsi="Raleway"/>
        <w:b/>
        <w:i w:val="0"/>
        <w:color w:val="000000" w:themeColor="text1"/>
      </w:rPr>
      <w:tblPr/>
      <w:tcPr>
        <w:shd w:val="clear" w:color="auto" w:fill="EAE9E7"/>
      </w:tcPr>
    </w:tblStylePr>
    <w:tblStylePr w:type="band1Horz">
      <w:rPr>
        <w:rFonts w:ascii="Arial" w:hAnsi="Arial"/>
      </w:rPr>
    </w:tblStylePr>
    <w:tblStylePr w:type="band2Horz">
      <w:rPr>
        <w:rFonts w:ascii="Arial" w:hAnsi="Arial"/>
      </w:rPr>
    </w:tblStylePr>
  </w:style>
  <w:style w:type="character" w:customStyle="1" w:styleId="50">
    <w:name w:val="标题 5 字符"/>
    <w:aliases w:val="CER Heading 5 字符"/>
    <w:basedOn w:val="a0"/>
    <w:link w:val="5"/>
    <w:uiPriority w:val="6"/>
    <w:rsid w:val="00FA7635"/>
    <w:rPr>
      <w:rFonts w:asciiTheme="minorHAnsi" w:eastAsiaTheme="majorEastAsia" w:hAnsiTheme="minorHAnsi" w:cstheme="majorBidi"/>
      <w:b/>
      <w:color w:val="000000" w:themeColor="text1"/>
      <w:sz w:val="22"/>
      <w:szCs w:val="24"/>
      <w:lang w:eastAsia="en-US"/>
    </w:rPr>
  </w:style>
  <w:style w:type="table" w:styleId="a8">
    <w:name w:val="Table Grid"/>
    <w:basedOn w:val="a1"/>
    <w:uiPriority w:val="39"/>
    <w:rsid w:val="00A41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ERCallout">
    <w:name w:val="CER Callout"/>
    <w:basedOn w:val="a1"/>
    <w:uiPriority w:val="99"/>
    <w:rsid w:val="00235B98"/>
    <w:pPr>
      <w:ind w:left="284" w:right="284"/>
    </w:pPr>
    <w:rPr>
      <w:rFonts w:ascii="Arial" w:hAnsi="Arial"/>
    </w:rPr>
    <w:tblPr>
      <w:tblCellSpacing w:w="142" w:type="dxa"/>
      <w:tblCellMar>
        <w:left w:w="0" w:type="dxa"/>
        <w:right w:w="0" w:type="dxa"/>
      </w:tblCellMar>
    </w:tblPr>
    <w:trPr>
      <w:cantSplit/>
      <w:tblCellSpacing w:w="142" w:type="dxa"/>
    </w:trPr>
    <w:tcPr>
      <w:shd w:val="pct5" w:color="auto" w:fill="auto"/>
      <w:tcMar>
        <w:top w:w="284" w:type="dxa"/>
        <w:left w:w="284" w:type="dxa"/>
        <w:bottom w:w="284" w:type="dxa"/>
        <w:right w:w="284" w:type="dxa"/>
      </w:tcMar>
    </w:tcPr>
  </w:style>
  <w:style w:type="character" w:customStyle="1" w:styleId="70">
    <w:name w:val="标题 7 字符"/>
    <w:basedOn w:val="a0"/>
    <w:link w:val="7"/>
    <w:uiPriority w:val="99"/>
    <w:rsid w:val="009D4D75"/>
    <w:rPr>
      <w:rFonts w:asciiTheme="minorHAnsi" w:eastAsiaTheme="majorEastAsia" w:hAnsiTheme="minorHAnsi" w:cstheme="majorBidi"/>
      <w:i/>
      <w:iCs/>
      <w:color w:val="404040" w:themeColor="text1" w:themeTint="BF"/>
      <w:sz w:val="22"/>
      <w:szCs w:val="24"/>
      <w:lang w:eastAsia="en-US"/>
    </w:rPr>
  </w:style>
  <w:style w:type="character" w:styleId="a9">
    <w:name w:val="FollowedHyperlink"/>
    <w:basedOn w:val="a0"/>
    <w:uiPriority w:val="99"/>
    <w:rsid w:val="00BD5ED5"/>
    <w:rPr>
      <w:rFonts w:asciiTheme="minorHAnsi" w:hAnsiTheme="minorHAnsi"/>
      <w:color w:val="00A7D3"/>
      <w:sz w:val="22"/>
      <w:u w:val="single"/>
    </w:rPr>
  </w:style>
  <w:style w:type="paragraph" w:customStyle="1" w:styleId="CERcovertitle">
    <w:name w:val="CER cover title"/>
    <w:basedOn w:val="a"/>
    <w:link w:val="CERcovertitleChar"/>
    <w:uiPriority w:val="8"/>
    <w:rsid w:val="00193A6C"/>
    <w:pPr>
      <w:spacing w:before="5160" w:after="0"/>
    </w:pPr>
    <w:rPr>
      <w:b/>
      <w:noProof/>
      <w:color w:val="FFFFFF" w:themeColor="background1"/>
      <w:sz w:val="40"/>
      <w:lang w:eastAsia="en-AU"/>
    </w:rPr>
  </w:style>
  <w:style w:type="paragraph" w:customStyle="1" w:styleId="CERcoversubtitle">
    <w:name w:val="CER cover subtitle"/>
    <w:basedOn w:val="2"/>
    <w:link w:val="CERcoversubtitleChar"/>
    <w:uiPriority w:val="8"/>
    <w:rsid w:val="00193A6C"/>
    <w:rPr>
      <w:color w:val="FFFFFF" w:themeColor="background1"/>
    </w:rPr>
  </w:style>
  <w:style w:type="character" w:customStyle="1" w:styleId="CERcovertitleChar">
    <w:name w:val="CER cover title Char"/>
    <w:basedOn w:val="a0"/>
    <w:link w:val="CERcovertitle"/>
    <w:uiPriority w:val="8"/>
    <w:rsid w:val="00193A6C"/>
    <w:rPr>
      <w:rFonts w:asciiTheme="minorHAnsi" w:hAnsiTheme="minorHAnsi" w:cstheme="minorHAnsi"/>
      <w:b/>
      <w:noProof/>
      <w:color w:val="FFFFFF" w:themeColor="background1"/>
      <w:sz w:val="40"/>
      <w:szCs w:val="24"/>
    </w:rPr>
  </w:style>
  <w:style w:type="paragraph" w:customStyle="1" w:styleId="CERnumbering">
    <w:name w:val="CER numbering"/>
    <w:basedOn w:val="CERbullets"/>
    <w:link w:val="CERnumberingChar"/>
    <w:uiPriority w:val="8"/>
    <w:qFormat/>
    <w:rsid w:val="00193A6C"/>
    <w:pPr>
      <w:numPr>
        <w:numId w:val="30"/>
      </w:numPr>
    </w:pPr>
  </w:style>
  <w:style w:type="character" w:customStyle="1" w:styleId="CERcoversubtitleChar">
    <w:name w:val="CER cover subtitle Char"/>
    <w:basedOn w:val="20"/>
    <w:link w:val="CERcoversubtitle"/>
    <w:uiPriority w:val="8"/>
    <w:rsid w:val="00193A6C"/>
    <w:rPr>
      <w:rFonts w:asciiTheme="minorHAnsi" w:eastAsia="Times New Roman" w:hAnsiTheme="minorHAnsi" w:cstheme="minorHAnsi"/>
      <w:b/>
      <w:bCs/>
      <w:color w:val="FFFFFF" w:themeColor="background1"/>
      <w:sz w:val="30"/>
      <w:szCs w:val="26"/>
      <w:lang w:eastAsia="en-US"/>
    </w:rPr>
  </w:style>
  <w:style w:type="character" w:customStyle="1" w:styleId="CERnumberingChar">
    <w:name w:val="CER numbering Char"/>
    <w:basedOn w:val="CERbulletsChar"/>
    <w:link w:val="CERnumbering"/>
    <w:uiPriority w:val="8"/>
    <w:rsid w:val="00193A6C"/>
    <w:rPr>
      <w:rFonts w:asciiTheme="minorHAnsi" w:hAnsiTheme="minorHAnsi" w:cstheme="minorHAnsi"/>
      <w:sz w:val="22"/>
      <w:szCs w:val="24"/>
      <w:lang w:eastAsia="en-US"/>
    </w:rPr>
  </w:style>
  <w:style w:type="character" w:styleId="aa">
    <w:name w:val="Placeholder Text"/>
    <w:basedOn w:val="a0"/>
    <w:uiPriority w:val="99"/>
    <w:rsid w:val="00930D2E"/>
    <w:rPr>
      <w:color w:val="808080"/>
    </w:rPr>
  </w:style>
  <w:style w:type="character" w:customStyle="1" w:styleId="Protectivemarker">
    <w:name w:val="Protective marker"/>
    <w:basedOn w:val="a0"/>
    <w:uiPriority w:val="1"/>
    <w:rsid w:val="00F76419"/>
    <w:rPr>
      <w:rFonts w:asciiTheme="minorHAnsi" w:hAnsiTheme="minorHAnsi"/>
      <w:b/>
      <w:color w:val="FF0000"/>
      <w:sz w:val="28"/>
    </w:rPr>
  </w:style>
  <w:style w:type="paragraph" w:customStyle="1" w:styleId="LegislativesecrecyACT">
    <w:name w:val="Legislative secrecy ACT"/>
    <w:basedOn w:val="5"/>
    <w:uiPriority w:val="8"/>
    <w:qFormat/>
    <w:rsid w:val="00F76419"/>
    <w:pPr>
      <w:tabs>
        <w:tab w:val="center" w:pos="4870"/>
        <w:tab w:val="left" w:pos="8745"/>
      </w:tabs>
      <w:spacing w:before="0" w:after="120"/>
      <w:jc w:val="center"/>
    </w:pPr>
    <w:rPr>
      <w:color w:val="auto"/>
      <w:sz w:val="24"/>
    </w:rPr>
  </w:style>
  <w:style w:type="character" w:customStyle="1" w:styleId="ERACbulletsChar">
    <w:name w:val="ERAC bullets Char"/>
    <w:link w:val="ERACbullets"/>
    <w:uiPriority w:val="7"/>
    <w:locked/>
    <w:rsid w:val="00805087"/>
    <w:rPr>
      <w:rFonts w:ascii="Calibri" w:hAnsi="Calibri" w:cs="Calibri"/>
      <w:sz w:val="22"/>
      <w:szCs w:val="24"/>
      <w:lang w:eastAsia="en-US"/>
    </w:rPr>
  </w:style>
  <w:style w:type="paragraph" w:customStyle="1" w:styleId="ERACbullets">
    <w:name w:val="ERAC bullets"/>
    <w:basedOn w:val="a"/>
    <w:link w:val="ERACbulletsChar"/>
    <w:uiPriority w:val="7"/>
    <w:qFormat/>
    <w:rsid w:val="00805087"/>
    <w:pPr>
      <w:numPr>
        <w:numId w:val="31"/>
      </w:numPr>
      <w:spacing w:before="120" w:after="120"/>
    </w:pPr>
    <w:rPr>
      <w:rFonts w:ascii="Calibri" w:hAnsi="Calibri" w:cs="Calibri"/>
      <w:color w:val="auto"/>
    </w:rPr>
  </w:style>
  <w:style w:type="paragraph" w:customStyle="1" w:styleId="Default">
    <w:name w:val="Default"/>
    <w:rsid w:val="008039E4"/>
    <w:pPr>
      <w:autoSpaceDE w:val="0"/>
      <w:autoSpaceDN w:val="0"/>
      <w:adjustRightInd w:val="0"/>
    </w:pPr>
    <w:rPr>
      <w:rFonts w:ascii="Calibri" w:hAnsi="Calibri" w:cs="Calibri"/>
      <w:color w:val="000000"/>
      <w:sz w:val="24"/>
      <w:szCs w:val="24"/>
    </w:rPr>
  </w:style>
  <w:style w:type="character" w:styleId="ab">
    <w:name w:val="annotation reference"/>
    <w:basedOn w:val="a0"/>
    <w:uiPriority w:val="99"/>
    <w:semiHidden/>
    <w:unhideWhenUsed/>
    <w:rsid w:val="00AA324E"/>
    <w:rPr>
      <w:sz w:val="16"/>
      <w:szCs w:val="16"/>
    </w:rPr>
  </w:style>
  <w:style w:type="paragraph" w:styleId="ac">
    <w:name w:val="annotation text"/>
    <w:basedOn w:val="a"/>
    <w:link w:val="ad"/>
    <w:uiPriority w:val="99"/>
    <w:semiHidden/>
    <w:unhideWhenUsed/>
    <w:rsid w:val="00AA324E"/>
    <w:rPr>
      <w:sz w:val="20"/>
      <w:szCs w:val="20"/>
    </w:rPr>
  </w:style>
  <w:style w:type="character" w:customStyle="1" w:styleId="ad">
    <w:name w:val="批注文字 字符"/>
    <w:basedOn w:val="a0"/>
    <w:link w:val="ac"/>
    <w:uiPriority w:val="99"/>
    <w:semiHidden/>
    <w:rsid w:val="00AA324E"/>
    <w:rPr>
      <w:rFonts w:asciiTheme="minorHAnsi" w:hAnsiTheme="minorHAnsi" w:cstheme="minorHAnsi"/>
      <w:color w:val="000000" w:themeColor="text1"/>
      <w:lang w:eastAsia="en-US"/>
    </w:rPr>
  </w:style>
  <w:style w:type="paragraph" w:styleId="ae">
    <w:name w:val="annotation subject"/>
    <w:basedOn w:val="ac"/>
    <w:next w:val="ac"/>
    <w:link w:val="af"/>
    <w:uiPriority w:val="99"/>
    <w:semiHidden/>
    <w:unhideWhenUsed/>
    <w:rsid w:val="00AA324E"/>
    <w:rPr>
      <w:b/>
      <w:bCs/>
    </w:rPr>
  </w:style>
  <w:style w:type="character" w:customStyle="1" w:styleId="af">
    <w:name w:val="批注主题 字符"/>
    <w:basedOn w:val="ad"/>
    <w:link w:val="ae"/>
    <w:uiPriority w:val="99"/>
    <w:semiHidden/>
    <w:rsid w:val="00AA324E"/>
    <w:rPr>
      <w:rFonts w:asciiTheme="minorHAnsi" w:hAnsiTheme="minorHAnsi" w:cstheme="minorHAnsi"/>
      <w:b/>
      <w:bCs/>
      <w:color w:val="000000" w:themeColor="text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279253">
      <w:bodyDiv w:val="1"/>
      <w:marLeft w:val="0"/>
      <w:marRight w:val="0"/>
      <w:marTop w:val="0"/>
      <w:marBottom w:val="0"/>
      <w:divBdr>
        <w:top w:val="none" w:sz="0" w:space="0" w:color="auto"/>
        <w:left w:val="none" w:sz="0" w:space="0" w:color="auto"/>
        <w:bottom w:val="none" w:sz="0" w:space="0" w:color="auto"/>
        <w:right w:val="none" w:sz="0" w:space="0" w:color="auto"/>
      </w:divBdr>
    </w:div>
    <w:div w:id="959342230">
      <w:bodyDiv w:val="1"/>
      <w:marLeft w:val="0"/>
      <w:marRight w:val="0"/>
      <w:marTop w:val="0"/>
      <w:marBottom w:val="0"/>
      <w:divBdr>
        <w:top w:val="none" w:sz="0" w:space="0" w:color="auto"/>
        <w:left w:val="none" w:sz="0" w:space="0" w:color="auto"/>
        <w:bottom w:val="none" w:sz="0" w:space="0" w:color="auto"/>
        <w:right w:val="none" w:sz="0" w:space="0" w:color="auto"/>
      </w:divBdr>
    </w:div>
    <w:div w:id="982275812">
      <w:bodyDiv w:val="1"/>
      <w:marLeft w:val="0"/>
      <w:marRight w:val="0"/>
      <w:marTop w:val="0"/>
      <w:marBottom w:val="0"/>
      <w:divBdr>
        <w:top w:val="none" w:sz="0" w:space="0" w:color="auto"/>
        <w:left w:val="none" w:sz="0" w:space="0" w:color="auto"/>
        <w:bottom w:val="none" w:sz="0" w:space="0" w:color="auto"/>
        <w:right w:val="none" w:sz="0" w:space="0" w:color="auto"/>
      </w:divBdr>
    </w:div>
    <w:div w:id="1802654630">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81c01dc6-2c49-4730-b140-874c95cac377" xsi:nil="true"/>
    <lcf76f155ced4ddcb4097134ff3c332f xmlns="b98728ac-f998-415c-abee-6b046fb1441e">
      <Terms xmlns="http://schemas.microsoft.com/office/infopath/2007/PartnerControls"/>
    </lcf76f155ced4ddcb4097134ff3c332f>
    <SharedWithUsers xmlns="d869c146-c82e-4435-92e4-da91542262fd">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3A4F77836BB3D4E8942C3BA8310D952" ma:contentTypeVersion="14" ma:contentTypeDescription="Create a new document." ma:contentTypeScope="" ma:versionID="d2575a541de4f6f4146f87d786cddbb4">
  <xsd:schema xmlns:xsd="http://www.w3.org/2001/XMLSchema" xmlns:xs="http://www.w3.org/2001/XMLSchema" xmlns:p="http://schemas.microsoft.com/office/2006/metadata/properties" xmlns:ns2="b98728ac-f998-415c-abee-6b046fb1441e" xmlns:ns3="81c01dc6-2c49-4730-b140-874c95cac377" xmlns:ns4="d869c146-c82e-4435-92e4-da91542262fd" targetNamespace="http://schemas.microsoft.com/office/2006/metadata/properties" ma:root="true" ma:fieldsID="4bfd732ecb4d90ac731c1f8eb5d3dcdc" ns2:_="" ns3:_="" ns4:_="">
    <xsd:import namespace="b98728ac-f998-415c-abee-6b046fb1441e"/>
    <xsd:import namespace="81c01dc6-2c49-4730-b140-874c95cac377"/>
    <xsd:import namespace="d869c146-c82e-4435-92e4-da91542262f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4:SharedWithUsers" minOccurs="0"/>
                <xsd:element ref="ns4:SharedWithDetails"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8728ac-f998-415c-abee-6b046fb14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881b4ab-c2b0-4b32-8bb7-29fb05a8de77"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1c01dc6-2c49-4730-b140-874c95cac37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36b5be2-cf4e-43ec-8734-a0fb5251e776}" ma:internalName="TaxCatchAll" ma:showField="CatchAllData" ma:web="d869c146-c82e-4435-92e4-da91542262f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869c146-c82e-4435-92e4-da91542262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0909C3-8D4D-4B21-82AF-74EC21590A35}">
  <ds:schemaRefs>
    <ds:schemaRef ds:uri="http://schemas.microsoft.com/office/2006/metadata/properties"/>
    <ds:schemaRef ds:uri="http://schemas.microsoft.com/office/infopath/2007/PartnerControls"/>
    <ds:schemaRef ds:uri="81c01dc6-2c49-4730-b140-874c95cac377"/>
    <ds:schemaRef ds:uri="b98728ac-f998-415c-abee-6b046fb1441e"/>
    <ds:schemaRef ds:uri="d869c146-c82e-4435-92e4-da91542262fd"/>
  </ds:schemaRefs>
</ds:datastoreItem>
</file>

<file path=customXml/itemProps3.xml><?xml version="1.0" encoding="utf-8"?>
<ds:datastoreItem xmlns:ds="http://schemas.openxmlformats.org/officeDocument/2006/customXml" ds:itemID="{259929AA-5DF1-4E80-A3D8-75C76F8964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8728ac-f998-415c-abee-6b046fb1441e"/>
    <ds:schemaRef ds:uri="81c01dc6-2c49-4730-b140-874c95cac377"/>
    <ds:schemaRef ds:uri="d869c146-c82e-4435-92e4-da91542262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B1FC3E-A4CB-48F1-ABC3-A0582D3D1A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1052</Words>
  <Characters>5998</Characters>
  <Application>Microsoft Office Word</Application>
  <DocSecurity>8</DocSecurity>
  <Lines>49</Lines>
  <Paragraphs>14</Paragraphs>
  <ScaleCrop>false</ScaleCrop>
  <HeadingPairs>
    <vt:vector size="2" baseType="variant">
      <vt:variant>
        <vt:lpstr>Title</vt:lpstr>
      </vt:variant>
      <vt:variant>
        <vt:i4>1</vt:i4>
      </vt:variant>
    </vt:vector>
  </HeadingPairs>
  <TitlesOfParts>
    <vt:vector size="1" baseType="lpstr">
      <vt:lpstr>Principles for assessing models used for Emissions Reduction Fund methods</vt:lpstr>
    </vt:vector>
  </TitlesOfParts>
  <Company/>
  <LinksUpToDate>false</LinksUpToDate>
  <CharactersWithSpaces>7036</CharactersWithSpaces>
  <SharedDoc>false</SharedDoc>
  <HLinks>
    <vt:vector size="12" baseType="variant">
      <vt:variant>
        <vt:i4>2228277</vt:i4>
      </vt:variant>
      <vt:variant>
        <vt:i4>3</vt:i4>
      </vt:variant>
      <vt:variant>
        <vt:i4>0</vt:i4>
      </vt:variant>
      <vt:variant>
        <vt:i4>5</vt:i4>
      </vt:variant>
      <vt:variant>
        <vt:lpwstr>http://www.cleanenergyregulator.gov.au/</vt:lpwstr>
      </vt:variant>
      <vt:variant>
        <vt:lpwstr/>
      </vt:variant>
      <vt:variant>
        <vt:i4>4390951</vt:i4>
      </vt:variant>
      <vt:variant>
        <vt:i4>0</vt:i4>
      </vt:variant>
      <vt:variant>
        <vt:i4>0</vt:i4>
      </vt:variant>
      <vt:variant>
        <vt:i4>5</vt:i4>
      </vt:variant>
      <vt:variant>
        <vt:lpwstr>mailto:ERAC@cleanenergyregulator.gov.au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Principles for assessing models used for Emissions Reduction Fund methods</dc:title>
  <dc:subject/>
  <dc:creator>Australian Government Clean Energy Regulator</dc:creator>
  <cp:keywords/>
  <cp:lastModifiedBy>Joon Tsang</cp:lastModifiedBy>
  <cp:revision>6</cp:revision>
  <dcterms:created xsi:type="dcterms:W3CDTF">2023-11-02T02:47:00Z</dcterms:created>
  <dcterms:modified xsi:type="dcterms:W3CDTF">2026-01-27T07:56:00Z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0x0101004CA990AE4196FB498B9E8358DF466AC9</vt:lpwstr>
  </property>
  <property fmtid="{D5CDD505-2E9C-101B-9397-08002B2CF9AE}" pid="3" name="Order">
    <vt:r8>178300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